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Benchmark V2</w:t>
        <w:br/>
        <w:t>D9 Physical FIFO Provenance Allocation Closure</w:t>
      </w:r>
    </w:p>
    <w:p>
      <w:pPr>
        <w:jc w:val="center"/>
      </w:pPr>
      <w:r>
        <w:rPr>
          <w:b/>
        </w:rPr>
        <w:t>Prospective fixture closure and M12 implementation gate</w:t>
      </w:r>
    </w:p>
    <w:p>
      <w:pPr>
        <w:pStyle w:val="Heading1"/>
      </w:pPr>
      <w:r>
        <w:t>1. Decision</w:t>
      </w:r>
    </w:p>
    <w:p>
      <w:r>
        <w:rPr>
          <w:b/>
        </w:rPr>
        <w:t xml:space="preserve">D9 is a genuine narrow fixture gap. </w:t>
      </w:r>
      <w:r>
        <w:t>The reviewed benchmark/framework authority does not specify FIFO, LIFO, or quality-priority allocation among usable S1 boards. M11 therefore had no authority to consume clean boards before latent-defective or reworked boards.</w:t>
      </w:r>
    </w:p>
    <w:p>
      <w:r>
        <w:rPr>
          <w:b/>
        </w:rPr>
        <w:t xml:space="preserve">Prospective closure: physical receipt-order FIFO. </w:t>
      </w:r>
      <w:r>
        <w:t>Usable S1 boards are represented as ordered cohorts. Production consumes the oldest available cohort first. Hidden defect provenance travels with the cohort but cannot influence which board is selected.</w:t>
      </w:r>
    </w:p>
    <w:p>
      <w:pPr>
        <w:pStyle w:val="Heading1"/>
      </w:pPr>
      <w:r>
        <w:t>2. Frozen invariants retained</w:t>
      </w:r>
    </w:p>
    <w:p>
      <w:pPr>
        <w:pStyle w:val="ListBullet"/>
      </w:pPr>
      <w:r>
        <w:t>D7 inspection, suspect-substrate, and rework-conservation rules remain unchanged.</w:t>
      </w:r>
    </w:p>
    <w:p>
      <w:pPr>
        <w:pStyle w:val="ListBullet"/>
      </w:pPr>
      <w:r>
        <w:t>D8 field-risk probabilities remain 20% ordinary escaped defect, 8% shortcut rework, and 1.5% full rework.</w:t>
      </w:r>
    </w:p>
    <w:p>
      <w:pPr>
        <w:pStyle w:val="ListBullet"/>
      </w:pPr>
      <w:r>
        <w:t>No controller objective, action grammar, shock distribution, customer rule, finance rule, transport rule, or S1 recovery parameter is changed.</w:t>
      </w:r>
    </w:p>
    <w:p>
      <w:pPr>
        <w:pStyle w:val="ListBullet"/>
      </w:pPr>
      <w:r>
        <w:t>The FIFO rule applies identically to A, B0-B4, and C and is fixed before M12 primary outcomes are generated.</w:t>
      </w:r>
    </w:p>
    <w:p>
      <w:pPr>
        <w:pStyle w:val="Heading1"/>
      </w:pPr>
      <w:r>
        <w:t>3. FIFO semantics</w:t>
      </w:r>
    </w:p>
    <w:p>
      <w:pPr>
        <w:pStyle w:val="ListBullet"/>
      </w:pPr>
      <w:r>
        <w:t>Initial usable S1 inventory forms the oldest initial clean cohort.</w:t>
      </w:r>
    </w:p>
    <w:p>
      <w:pPr>
        <w:pStyle w:val="ListBullet"/>
      </w:pPr>
      <w:r>
        <w:t>Each accepted S1 arrival appends accepted boards in physical within-shipment order; inspection may remove suspect boards, but it does not reorder accepted boards by hidden ground truth.</w:t>
      </w:r>
    </w:p>
    <w:p>
      <w:pPr>
        <w:pStyle w:val="ListBullet"/>
      </w:pPr>
      <w:r>
        <w:t>Shortcut-reworked output appends to the usable FIFO tail when it becomes usable in-period.</w:t>
      </w:r>
    </w:p>
    <w:p>
      <w:pPr>
        <w:pStyle w:val="ListBullet"/>
      </w:pPr>
      <w:r>
        <w:t>Full-reworked output appends to the usable FIFO tail when it becomes usable after the frozen one-period delay.</w:t>
      </w:r>
    </w:p>
    <w:p>
      <w:pPr>
        <w:pStyle w:val="ListBullet"/>
      </w:pPr>
      <w:r>
        <w:t>Production consumes usable S1 cohorts from the head of the queue regardless of provenance.</w:t>
      </w:r>
    </w:p>
    <w:p>
      <w:pPr>
        <w:pStyle w:val="ListBullet"/>
      </w:pPr>
      <w:r>
        <w:t>Finished units inherit the board cohort order created by production. Customer shipment consumes finished S1 provenance in production FIFO order; S2-origin or legacy clean finished units carry no S1 field-risk fixture.</w:t>
      </w:r>
    </w:p>
    <w:p>
      <w:pPr>
        <w:pStyle w:val="Heading1"/>
      </w:pPr>
      <w:r>
        <w:t>4. Information boundary</w:t>
      </w:r>
    </w:p>
    <w:p>
      <w:r>
        <w:t>The FIFO queue may internally carry Layer-1 provenance so the simulator can later realize physical consequences, but that provenance is not exposed as a selection criterion. The controller cannot preferentially avoid a latent defect that inspection failed to reveal. This preserves the actual/perceived-state distinction and prevents downstream execution from acquiring hidden information.</w:t>
      </w:r>
    </w:p>
    <w:p>
      <w:pPr>
        <w:pStyle w:val="Heading1"/>
      </w:pPr>
      <w:r>
        <w:t>5. M12 validation gate</w:t>
      </w:r>
    </w:p>
    <w:p>
      <w:pPr>
        <w:pStyle w:val="ListBullet"/>
      </w:pPr>
      <w:r>
        <w:t>Original M11/D7/D8 suite: 114/114 PASS.</w:t>
      </w:r>
    </w:p>
    <w:p>
      <w:pPr>
        <w:pStyle w:val="ListBullet"/>
      </w:pPr>
      <w:r>
        <w:t>Five D9-specific FIFO/provenance tests added and PASS.</w:t>
      </w:r>
    </w:p>
    <w:p>
      <w:pPr>
        <w:pStyle w:val="ListBullet"/>
      </w:pPr>
      <w:r>
        <w:t>Combined suite: 119/119 PASS.</w:t>
      </w:r>
    </w:p>
    <w:p>
      <w:pPr>
        <w:pStyle w:val="ListBullet"/>
      </w:pPr>
      <w:r>
        <w:t>Production readiness: 40/40 PASS.</w:t>
      </w:r>
    </w:p>
    <w:p>
      <w:pPr>
        <w:pStyle w:val="ListBullet"/>
      </w:pPr>
      <w:r>
        <w:t>A/B root action-surface parity: 100%.</w:t>
      </w:r>
    </w:p>
    <w:p>
      <w:pPr>
        <w:pStyle w:val="ListBullet"/>
      </w:pPr>
      <w:r>
        <w:t>Maximum transition evaluations observed: 9,600 / 10,000.</w:t>
      </w:r>
    </w:p>
    <w:p>
      <w:pPr>
        <w:pStyle w:val="ListBullet"/>
      </w:pPr>
      <w:r>
        <w:t>Primary comparative outcomes generated during readiness: false.</w:t>
      </w:r>
    </w:p>
    <w:p>
      <w:pPr>
        <w:pStyle w:val="Heading1"/>
      </w:pPr>
      <w:r>
        <w:t>6. Authorization</w:t>
      </w:r>
    </w:p>
    <w:p>
      <w:r>
        <w:rPr>
          <w:b/>
        </w:rPr>
        <w:t xml:space="preserve">D9 closure: AUTHORIZED. </w:t>
      </w:r>
      <w:r>
        <w:t>M12 code may use receipt-order FIFO as defined above.</w:t>
      </w:r>
    </w:p>
    <w:p>
      <w:r>
        <w:rPr>
          <w:b/>
        </w:rPr>
        <w:t xml:space="preserve">M12 primary execution candidate: AUTHORIZED FOR EXTERNAL RUN. </w:t>
      </w:r>
      <w:r>
        <w:t>The run must be structurally validated and D9 execution-audited before comparative outcomes are promoted.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PV-PP Benchmark V2 - D9 FIFO Closure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