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PV-PP Benchmark V2</w:t>
        <w:br/>
        <w:t>M13 Customer Exit Closure</w:t>
      </w:r>
    </w:p>
    <w:p>
      <w:pPr>
        <w:jc w:val="center"/>
      </w:pPr>
      <w:r>
        <w:rPr>
          <w:b/>
        </w:rPr>
        <w:t>Prospective one-change calibration from validated M12</w:t>
      </w:r>
    </w:p>
    <w:p>
      <w:pPr>
        <w:pStyle w:val="Heading1"/>
      </w:pPr>
      <w:r>
        <w:t>Purpose</w:t>
      </w:r>
    </w:p>
    <w:p>
      <w:r>
        <w:t>M13 preserves M12 as the validated hard benchmark and introduces one prospective, outcome-blind realism correction to the customer terminal-state logic. No observed M12 success percentage is used as a calibration target.</w:t>
      </w:r>
    </w:p>
    <w:p>
      <w:pPr>
        <w:pStyle w:val="Heading1"/>
      </w:pPr>
      <w:r>
        <w:t>Economic rationale</w:t>
      </w:r>
    </w:p>
    <w:p>
      <w:r>
        <w:t>The Asterion world contains no alternate supplier capable of replacing M during the benchmark horizon. Therefore customer termination cannot be treated as ordinary supplier switching. If C abandons M, the modeled outside sourcing option is zero. The economically coherent terminal event is failure of C’s own downstream operating capability.</w:t>
      </w:r>
    </w:p>
    <w:p>
      <w:pPr>
        <w:pStyle w:val="Heading1"/>
      </w:pPr>
      <w:r>
        <w:t>Frozen M13 rule</w:t>
      </w:r>
    </w:p>
    <w:p>
      <w:r>
        <w:t>Rolling breach strikes and low reserve remain severe-distress indicators. They do not by themselves authorize irreversible C exit. C continues cooperating with M while C retains positive operations productive power. C_TERMINATE becomes valid only when C operations PP reaches 0, representing collapse of C’s own ability to serve its customers.</w:t>
      </w:r>
    </w:p>
    <w:p>
      <w:r>
        <w:t>No new numeric cutoff is introduced. C already begins with operations PP = 100, and the frozen world already reduces operations PP by 10 at each period end in which customer reserve is exhausted. M13 uses the existing zero boundary of that pre-existing state variable.</w:t>
      </w:r>
    </w:p>
    <w:p>
      <w:pPr>
        <w:pStyle w:val="Heading1"/>
      </w:pPr>
      <w:r>
        <w:t>Unchanged benchmark elements</w:t>
      </w:r>
    </w:p>
    <w:p>
      <w:r>
        <w:t>All supplier shocks, stochastic distributions, inventories, production capacities, transport, finance, quality mechanics, S2 qualification, PP recovery, action surfaces, A/B/C controller logic, common-random-number structure, reporting rules, and the P16 horizon remain unchanged. Recovery-agreement machinery is retained unchanged even though strike eligibility no longer forces exit.</w:t>
      </w:r>
    </w:p>
    <w:p>
      <w:pPr>
        <w:pStyle w:val="Heading1"/>
      </w:pPr>
      <w:r>
        <w:t>Implementation guard</w:t>
      </w:r>
    </w:p>
    <w:p>
      <w:r>
        <w:t>The customer controller issues C_TERMINATE only when observed operations PP is 0. The transition engine independently rejects any premature C_TERMINATE action while operations PP remains positive. This prevents a controller from bypassing the M13 world semantics.</w:t>
      </w:r>
    </w:p>
    <w:p>
      <w:pPr>
        <w:pStyle w:val="Heading1"/>
      </w:pPr>
      <w:r>
        <w:t>Verification</w:t>
      </w:r>
    </w:p>
    <w:p>
      <w:r>
        <w:t>Conformance suite: 120/120 PASS. Production-readiness fixtures: 40/40 PASS. A/B root action-surface parity: 100%. Maximum transition evaluations: 9,600 of the frozen 10,000 budget. A three-seed execution smoke run completed all seven regimes per seed without execution failure; full scientific validation remains reserved for the 1,000-seed × 7-regime primary rerun.</w:t>
      </w:r>
    </w:p>
    <w:p>
      <w:pPr>
        <w:pStyle w:val="Heading1"/>
      </w:pPr>
      <w:r>
        <w:t>Disposition</w:t>
      </w:r>
    </w:p>
    <w:p>
      <w:r>
        <w:t>M13 is READY FOR PRIMARY ENSEMBLE RERUN. No M13 outcome should be interpreted before the complete ensemble passes structural validation. M12 remains separately preserved and banked as the hard benchmark.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PV-PP Benchmark V2 — M13 Customer Exit Closure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