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V2 M7 — Prospective Correction Status</w:t>
      </w:r>
    </w:p>
    <w:p>
      <w:pPr>
        <w:jc w:val="center"/>
      </w:pPr>
      <w:r>
        <w:rPr>
          <w:i/>
        </w:rPr>
        <w:t>Pre-execution authority-conformance checkpoint</w:t>
      </w:r>
    </w:p>
    <w:tbl>
      <w:tblPr>
        <w:tblStyle w:val="TableGrid"/>
        <w:tblW w:type="auto" w:w="0"/>
        <w:tblLook w:firstColumn="1" w:firstRow="1" w:lastColumn="0" w:lastRow="0" w:noHBand="0" w:noVBand="1" w:val="04A0"/>
      </w:tblPr>
      <w:tblGrid>
        <w:gridCol w:w="5040"/>
        <w:gridCol w:w="5040"/>
      </w:tblGrid>
      <w:tr>
        <w:tc>
          <w:tcPr>
            <w:tcW w:type="dxa" w:w="5040"/>
          </w:tcPr>
          <w:p>
            <w:r>
              <w:t>Build status</w:t>
            </w:r>
          </w:p>
        </w:tc>
        <w:tc>
          <w:tcPr>
            <w:tcW w:type="dxa" w:w="5040"/>
          </w:tcPr>
          <w:p>
            <w:r>
              <w:t>TEST-PASS / EXECUTION LOCKED</w:t>
            </w:r>
          </w:p>
        </w:tc>
      </w:tr>
      <w:tr>
        <w:tc>
          <w:tcPr>
            <w:tcW w:type="dxa" w:w="5040"/>
          </w:tcPr>
          <w:p>
            <w:r>
              <w:t>Conformance tests</w:t>
            </w:r>
          </w:p>
        </w:tc>
        <w:tc>
          <w:tcPr>
            <w:tcW w:type="dxa" w:w="5040"/>
          </w:tcPr>
          <w:p>
            <w:r>
              <w:t>89 passed / 0 failed</w:t>
            </w:r>
          </w:p>
        </w:tc>
      </w:tr>
      <w:tr>
        <w:tc>
          <w:tcPr>
            <w:tcW w:type="dxa" w:w="5040"/>
          </w:tcPr>
          <w:p>
            <w:r>
              <w:t>Primary execution</w:t>
            </w:r>
          </w:p>
        </w:tc>
        <w:tc>
          <w:tcPr>
            <w:tcW w:type="dxa" w:w="5040"/>
          </w:tcPr>
          <w:p>
            <w:r>
              <w:t>PROHIBITED</w:t>
            </w:r>
          </w:p>
        </w:tc>
      </w:tr>
      <w:tr>
        <w:tc>
          <w:tcPr>
            <w:tcW w:type="dxa" w:w="5040"/>
          </w:tcPr>
          <w:p>
            <w:r>
              <w:t>Outcome use</w:t>
            </w:r>
          </w:p>
        </w:tc>
        <w:tc>
          <w:tcPr>
            <w:tcW w:type="dxa" w:w="5040"/>
          </w:tcPr>
          <w:p>
            <w:r>
              <w:t>No comparative M6 outcomes consulted</w:t>
            </w:r>
          </w:p>
        </w:tc>
      </w:tr>
    </w:tbl>
    <w:p/>
    <w:p>
      <w:pPr>
        <w:pStyle w:val="Heading1"/>
      </w:pPr>
      <w:r>
        <w:t>1. Closed corrections</w:t>
      </w:r>
    </w:p>
    <w:p>
      <w:pPr>
        <w:pStyle w:val="Heading2"/>
      </w:pPr>
      <w:r>
        <w:t>D1 — Assisted S1 recovery</w:t>
      </w:r>
    </w:p>
    <w:p>
      <w:r>
        <w:t>Engine now applies +20 line / +25 quality when the accepted assistance flag is present; ordinary recovery remains +15 / +20. The assistance flag is consumed by the joint recovery transformation and reset. Regression test added.</w:t>
      </w:r>
    </w:p>
    <w:p>
      <w:pPr>
        <w:pStyle w:val="Heading2"/>
      </w:pPr>
      <w:r>
        <w:t>D2 — Customer threat thresholds</w:t>
      </w:r>
    </w:p>
    <w:p>
      <w:r>
        <w:t>Architecture-specific reserve thresholds were removed. In the primary deterministic customer policy, C follows the frozen termination rule: if termination-eligible and reserve &lt;40, terminate unless legitimate accepted recovery evidence projects &gt;=70 next period and &gt;=80 following; otherwise continue. C-THREATEN remains a valid action family but no unfrozen reserve trigger is invented. Regression test added.</w:t>
      </w:r>
    </w:p>
    <w:p>
      <w:pPr>
        <w:pStyle w:val="Heading2"/>
      </w:pPr>
      <w:r>
        <w:t>D3 — Outbound transport causality</w:t>
      </w:r>
    </w:p>
    <w:p>
      <w:r>
        <w:t>M-to-C shipment now requires current accepted T capacity at one slot per 20 finished units, consumes the named reservation, and enters congestion-conditioned transport realization. A failed realization creates an intact one-period delayed shipment rather than instant delivery. Regression tests verify booking requirement and causal consumption.</w:t>
      </w:r>
    </w:p>
    <w:p>
      <w:pPr>
        <w:pStyle w:val="Heading1"/>
      </w:pPr>
      <w:r>
        <w:t>2. Open execution blocker: D4</w:t>
      </w:r>
    </w:p>
    <w:p>
      <w:r>
        <w:t>The non-M role-action problem cannot be closed as a mere code patch. Actions_Events_v04.docx names S1-PRODUCE, S1-RENEGOTIATE, S1-STATUS-MSG, S1-CONTAIN, S1-EXIT, S2-QUOTE, S2-TOOL, S2-PRODUCE, S2-EXTERNAL-RESERVE, and S2-EXIT and gives their qualitative requirements/effects. Several still lack enough frozen numerical/controller semantics to implement them without introducing new benchmark design after a completed run.</w:t>
      </w:r>
    </w:p>
    <w:p>
      <w:r>
        <w:t>Examples of unresolved closure include the exact S1 containment trigger and release rule; S1 voluntary/forced exit condition; S1 renegotiation proposal parameter rule; S2 tooling M-share/agreement and completion timing; S2 production inventory/accounting details; and S2 voluntary market-exit trigger. These are not safe implementation assumptions.</w:t>
      </w:r>
    </w:p>
    <w:p>
      <w:pPr>
        <w:pStyle w:val="Heading1"/>
      </w:pPr>
      <w:r>
        <w:t>3. Current gate</w:t>
      </w:r>
    </w:p>
    <w:p>
      <w:r>
        <w:t>M7 therefore deliberately sets PRIMARY_COMPARATIVE_EXECUTION=False. The new 89/89 test pass is a correction-build test pass, not an execution authorization. The next artifact must prospectively close the D4 semantics from benchmark authority or explicitly version new benchmark fixtures before any M7/M8 execution lock is issued.</w:t>
      </w:r>
    </w:p>
    <w:p>
      <w:pPr>
        <w:pStyle w:val="Heading1"/>
      </w:pPr>
      <w:r>
        <w:t>4. Outcome firewall</w:t>
      </w:r>
    </w:p>
    <w:p>
      <w:r>
        <w:t>No A-vs-B or A-vs-C metric aggregation from the completed M6 ensemble was used in making these corrections or identifying the remaining formalization gap. The same frozen seed prefix remains reserved for the next valid primary ensemble.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