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PV-PP V2 Primary Comparative Execution Lock v1.1</w:t>
      </w:r>
    </w:p>
    <w:p>
      <w:pPr>
        <w:jc w:val="center"/>
      </w:pPr>
      <w:r>
        <w:rPr>
          <w:i/>
          <w:sz w:val="18"/>
        </w:rPr>
        <w:t>M8 prospective correction branch — authorization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DEDED"/>
            <w:vAlign w:val="center"/>
          </w:tcPr>
          <w:p>
            <w:r>
              <w:t>Status</w:t>
            </w:r>
          </w:p>
        </w:tc>
        <w:tc>
          <w:tcPr>
            <w:tcW w:type="dxa" w:w="5112"/>
            <w:vAlign w:val="center"/>
          </w:tcPr>
          <w:p>
            <w:r>
              <w:t>AUTHORIZED — NOT STARTED</w:t>
            </w:r>
          </w:p>
        </w:tc>
      </w:tr>
      <w:tr>
        <w:tc>
          <w:tcPr>
            <w:tcW w:type="dxa" w:w="5112"/>
            <w:shd w:fill="EDEDED"/>
            <w:vAlign w:val="center"/>
          </w:tcPr>
          <w:p>
            <w:r>
              <w:t>Authorized implementation</w:t>
            </w:r>
          </w:p>
        </w:tc>
        <w:tc>
          <w:tcPr>
            <w:tcW w:type="dxa" w:w="5112"/>
            <w:vAlign w:val="center"/>
          </w:tcPr>
          <w:p>
            <w:r>
              <w:t>PVPP V2 M8</w:t>
            </w:r>
          </w:p>
        </w:tc>
      </w:tr>
      <w:tr>
        <w:tc>
          <w:tcPr>
            <w:tcW w:type="dxa" w:w="5112"/>
            <w:shd w:fill="EDEDED"/>
            <w:vAlign w:val="center"/>
          </w:tcPr>
          <w:p>
            <w:r>
              <w:t>Seed authority</w:t>
            </w:r>
          </w:p>
        </w:tc>
        <w:tc>
          <w:tcPr>
            <w:tcW w:type="dxa" w:w="5112"/>
            <w:vAlign w:val="center"/>
          </w:tcPr>
          <w:p>
            <w:r>
              <w:t>Same frozen 1,000-seed prefix in master_seeds_1000.json</w:t>
            </w:r>
          </w:p>
        </w:tc>
      </w:tr>
      <w:tr>
        <w:tc>
          <w:tcPr>
            <w:tcW w:type="dxa" w:w="5112"/>
            <w:shd w:fill="EDEDED"/>
            <w:vAlign w:val="center"/>
          </w:tcPr>
          <w:p>
            <w:r>
              <w:t>Regimes</w:t>
            </w:r>
          </w:p>
        </w:tc>
        <w:tc>
          <w:tcPr>
            <w:tcW w:type="dxa" w:w="5112"/>
            <w:vAlign w:val="center"/>
          </w:tcPr>
          <w:p>
            <w:r>
              <w:t>A, B0, B1, B2, B3, B4, C</w:t>
            </w:r>
          </w:p>
        </w:tc>
      </w:tr>
      <w:tr>
        <w:tc>
          <w:tcPr>
            <w:tcW w:type="dxa" w:w="5112"/>
            <w:shd w:fill="EDEDED"/>
            <w:vAlign w:val="center"/>
          </w:tcPr>
          <w:p>
            <w:r>
              <w:t>Outcome firewall</w:t>
            </w:r>
          </w:p>
        </w:tc>
        <w:tc>
          <w:tcPr>
            <w:tcW w:type="dxa" w:w="5112"/>
            <w:vAlign w:val="center"/>
          </w:tcPr>
          <w:p>
            <w:r>
              <w:t>M6 Run Attempt 1 remains invalid diagnostic evidence; no comparative M6 outcomes used for M8 repair.</w:t>
            </w:r>
          </w:p>
        </w:tc>
      </w:tr>
    </w:tbl>
    <w:p>
      <w:pPr>
        <w:pStyle w:val="Heading1"/>
      </w:pPr>
      <w:r>
        <w:t>1. Preconditions discharged</w:t>
      </w:r>
    </w:p>
    <w:p>
      <w:r>
        <w:t>M8 incorporates the three M7 code corrections identified by the pre-analysis integrity audit and closes the remaining non-M action-surface defect through Non-M Action Surface Resolution v0.13. No implementation choice in v0.13 was selected by reference to M6 comparative outcomes.</w:t>
      </w:r>
    </w:p>
    <w:p>
      <w:pPr>
        <w:pStyle w:val="Heading1"/>
      </w:pPr>
      <w:r>
        <w:t>2.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Gate</w:t>
            </w:r>
          </w:p>
        </w:tc>
        <w:tc>
          <w:tcPr>
            <w:tcW w:type="dxa" w:w="5112"/>
            <w:shd w:fill="D9EAF7"/>
          </w:tcPr>
          <w:p>
            <w:r>
              <w:t>Result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Regression/conformance suite</w:t>
            </w:r>
          </w:p>
        </w:tc>
        <w:tc>
          <w:tcPr>
            <w:tcW w:type="dxa" w:w="5112"/>
          </w:tcPr>
          <w:p>
            <w:r>
              <w:t>96/96 PASS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v0.13 dedicated regressions</w:t>
            </w:r>
          </w:p>
        </w:tc>
        <w:tc>
          <w:tcPr>
            <w:tcW w:type="dxa" w:w="5112"/>
          </w:tcPr>
          <w:p>
            <w:r>
              <w:t>7/7 PASS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Production-readiness fixtures</w:t>
            </w:r>
          </w:p>
        </w:tc>
        <w:tc>
          <w:tcPr>
            <w:tcW w:type="dxa" w:w="5112"/>
          </w:tcPr>
          <w:p>
            <w:r>
              <w:t>40/40 PASS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A/B0 root-surface parity</w:t>
            </w:r>
          </w:p>
        </w:tc>
        <w:tc>
          <w:tcPr>
            <w:tcW w:type="dxa" w:w="5112"/>
          </w:tcPr>
          <w:p>
            <w:r>
              <w:t>100%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Maximum transition evaluations</w:t>
            </w:r>
          </w:p>
        </w:tc>
        <w:tc>
          <w:tcPr>
            <w:tcW w:type="dxa" w:w="5112"/>
          </w:tcPr>
          <w:p>
            <w:r>
              <w:t>9,664 / 10,000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Primary outcomes generated during readiness</w:t>
            </w:r>
          </w:p>
        </w:tc>
        <w:tc>
          <w:tcPr>
            <w:tcW w:type="dxa" w:w="5112"/>
          </w:tcPr>
          <w:p>
            <w:r>
              <w:t>No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Comparative execution before this record</w:t>
            </w:r>
          </w:p>
        </w:tc>
        <w:tc>
          <w:tcPr>
            <w:tcW w:type="dxa" w:w="5112"/>
          </w:tcPr>
          <w:p>
            <w:r>
              <w:t>Locked</w:t>
            </w:r>
          </w:p>
        </w:tc>
      </w:tr>
    </w:tbl>
    <w:p>
      <w:pPr>
        <w:pStyle w:val="Heading1"/>
      </w:pPr>
      <w:r>
        <w:t>3. Authorized run</w:t>
      </w:r>
    </w:p>
    <w:p>
      <w:r>
        <w:t>M8 is authorized to execute the primary stochastic ensemble over the unchanged frozen 1,000-seed prefix. Each seed must execute A, B0, B1, B2, B3, B4, and C, yielding 7,000 regime-runs. Common-random-number event identity and all previously frozen reporting rules remain unchanged.</w:t>
      </w:r>
    </w:p>
    <w:p>
      <w:pPr>
        <w:pStyle w:val="Heading1"/>
      </w:pPr>
      <w:r>
        <w:t>4. Prohibitions</w:t>
      </w:r>
    </w:p>
    <w:p>
      <w:r>
        <w:t>Do not tune controller rules, weights, thresholds, stochastic parameters, action-surface fixtures, or world semantics after inspecting M8 comparative results. Any newly discovered implementation defect invalidates the affected run attempt and requires a prospective versioned correction before restart. M6 outputs must not be merged with M8 outputs.</w:t>
      </w:r>
    </w:p>
    <w:p>
      <w:pPr>
        <w:pStyle w:val="Heading1"/>
      </w:pPr>
      <w:r>
        <w:t>5. Post-run acceptance</w:t>
      </w:r>
    </w:p>
    <w:p>
      <w:r>
        <w:t>Before analysis, verify exactly 1,000 seed files, exactly seven unique regime records per seed, exact seed-prefix identity, no duplicate or missing seeds, zero failure records, and structural validation PASS. Only then may paired metric-by-metric A-B0, A-B1 through B4, and A-C analysis begin. No global scalar ranking is authorized.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