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Multi-Agent Productive System Stress Benchmark</w:t>
        <w:br/>
        <w:t>Action-Parameterization and Oracle Completeness Resolution</w:t>
        <w:br/>
        <w:t>Version 0.10</w:t>
      </w:r>
    </w:p>
    <w:p>
      <w:pPr>
        <w:jc w:val="center"/>
      </w:pPr>
      <w:r>
        <w:rPr>
          <w:b/>
        </w:rPr>
        <w:t>Pre-Lock Authority Repair — 31 August 2026</w:t>
      </w:r>
    </w:p>
    <w:p>
      <w:r>
        <w:rPr>
          <w:b/>
        </w:rPr>
        <w:t xml:space="preserve">STATUS: </w:t>
      </w:r>
      <w:r>
        <w:t>NARROW PRE-LOCK RESOLUTION. Replaces no canonical PV-PP operator and changes no controller objective. It resolves how already-licensed benchmark action parameters are enumerated for implementation and prevents unsupported oracle infeasibility claims.</w:t>
      </w:r>
    </w:p>
    <w:p>
      <w:pPr>
        <w:pStyle w:val="Heading1"/>
      </w:pPr>
      <w:r>
        <w:t>1. Problem discovered during implementation</w:t>
      </w:r>
    </w:p>
    <w:p>
      <w:r>
        <w:t>The v0.4 action catalog defines many action families with typed quantity, timing, amount, mode, or counterpart parameters. The v0.8 oracle rule requires O1/O2 to search the same frozen finite world action grammar as the primary benchmark. The first implementation used a diagnostic quantity grid of 0/40/60/80 units. No controlling paper source authorizes that grid. It is therefore withdrawn.</w:t>
      </w:r>
    </w:p>
    <w:p>
      <w:pPr>
        <w:pStyle w:val="Heading1"/>
      </w:pPr>
      <w:r>
        <w:t>2. Controlling source rules</w:t>
      </w:r>
    </w:p>
    <w:p>
      <w:r>
        <w:t>The world specification states that physical inventory is measured in integer units and time in integer weekly periods. The action specification states that attempted production quantity n is realized as the integer minimum of n and accessible boards, kits, assembly slots, test slots, and applicable caps. The same action catalog supplies explicit caps where intended, including rework quantity &lt;=40, S2 reservation quantity &lt;=60, S1 orders &lt;=90 baseline or negotiated, and credit draws in $50k increments. The v0.8 addendum requires oracle search over the same world action grammar and allows PROVEN_INFEASIBLE only after exhaustive search of the frozen finite grammar or a separately validated completeness certificate.</w:t>
      </w:r>
    </w:p>
    <w:p>
      <w:pPr>
        <w:pStyle w:val="Heading1"/>
      </w:pPr>
      <w:r>
        <w:t>3. Finite parameterization rule</w:t>
      </w:r>
    </w:p>
    <w:p>
      <w:r>
        <w:t>No coarse convenience grid is permitted. For any action parameter measured in physical units, every integer value within the action's explicit bound and current feasible state bound is a distinct licensed parameter value unless a narrower discrete set is explicitly frozen. For time, deadline, and duration parameters, values are integer periods within the applicable frozen horizon or contract window. For parameters with an explicit increment, the specified increment controls (for example, credit draws in $50k increments). Categorical parameters are exactly the listed frozen categories. Enumeration is state-bounded and therefore finite at every decision point.</w:t>
      </w:r>
    </w:p>
    <w:p>
      <w:pPr>
        <w:pStyle w:val="Heading1"/>
      </w:pPr>
      <w:r>
        <w:t>4. No interpolation rule</w:t>
      </w:r>
    </w:p>
    <w:p>
      <w:r>
        <w:t>A syntactically licensed parameter value is not automatically semantically complete. If the frozen documents do not define the required cost, acceptance, transition, or consequence for a parameter value, implementation must not invent, interpolate, extrapolate, or optimize a replacement rule. The parameterization is marked SEMANTICALLY INCOMPLETE until a benchmark fixture explicitly resolves it.</w:t>
      </w:r>
    </w:p>
    <w:p>
      <w:pPr>
        <w:pStyle w:val="Heading1"/>
      </w:pPr>
      <w:r>
        <w:t>5. S2 reservation example</w:t>
      </w:r>
    </w:p>
    <w:p>
      <w:r>
        <w:t>The action catalog licenses M-RESERVE-S2 with quantity &lt;=60 and duration. The world specification explicitly states that reserving 60 boards/week costs M $20k nonrefundable. It does not state a fee function for 1-59 boards/week. Therefore 1-59 are syntactically licensed by the action schema but do not presently have a complete frozen fee transformation. The implementation may execute the explicitly specified 60-board point, but it may not treat omission of 1-59 as proof that no recovery path exists.</w:t>
      </w:r>
    </w:p>
    <w:p>
      <w:pPr>
        <w:pStyle w:val="Heading1"/>
      </w:pPr>
      <w:r>
        <w:t>6. Oracle completeness gate</w:t>
      </w:r>
    </w:p>
    <w:p>
      <w:r>
        <w:t>O1/O2 may return RECOVERY_FOUND whenever an actually executable searched path satisfies the evaluator recovery predicate. Budget exhaustion, timeout, incomplete expansion, or exhaustion of only the semantically complete subset returns UNDETERMINED. PROVEN_INFEASIBLE is authorized only when every reachable action family and parameter value relevant to the searched horizon has complete executable semantics and the search is exhaustive, or when an independently validated completeness certificate applies.</w:t>
      </w:r>
    </w:p>
    <w:p>
      <w:pPr>
        <w:pStyle w:val="Heading1"/>
      </w:pPr>
      <w:r>
        <w:t>7. Current implementation consequence</w:t>
      </w:r>
    </w:p>
    <w:p>
      <w:r>
        <w:t>The 0/40/60/80 diagnostic grid is removed. Integer production/shipment quantities are enumerated without a coarse grid. Explicit $50k credit increments and explicitly specified rework/reservation points remain executable. A machine-readable completeness registry lists action families whose full parameter-to-transformation mapping is still incomplete. Because that registry is nonempty, the current implementation cannot issue a general PROVEN_INFEASIBLE classification from default O1/O2 exhaustion.</w:t>
      </w:r>
    </w:p>
    <w:p>
      <w:pPr>
        <w:pStyle w:val="Heading1"/>
      </w:pPr>
      <w:r>
        <w:t>8. Freeze status</w:t>
      </w:r>
    </w:p>
    <w:p>
      <w:r>
        <w:t>This resolution closes the unauthorized-grid defect but does not yet authorize the Calibration Lock Record. The remaining pre-lock task is to complete the missing benchmark fixture semantics for the action families identified by the completeness registry, or to narrow those action schemas explicitly in a further versioned benchmark resolution. Primary A/B/C comparative execution remains prohibited.</w:t>
      </w:r>
    </w:p>
    <w:p>
      <w:pPr>
        <w:pStyle w:val="Heading1"/>
      </w:pPr>
      <w:r>
        <w:t>9. Parameterization audit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t>Parameter class</w:t>
            </w:r>
          </w:p>
        </w:tc>
        <w:tc>
          <w:tcPr>
            <w:tcW w:type="dxa" w:w="3408"/>
          </w:tcPr>
          <w:p>
            <w:r>
              <w:t>Rule</w:t>
            </w:r>
          </w:p>
        </w:tc>
        <w:tc>
          <w:tcPr>
            <w:tcW w:type="dxa" w:w="3408"/>
          </w:tcPr>
          <w:p>
            <w:r>
              <w:t>Status</w:t>
            </w:r>
          </w:p>
        </w:tc>
      </w:tr>
      <w:tr>
        <w:tc>
          <w:tcPr>
            <w:tcW w:type="dxa" w:w="3408"/>
          </w:tcPr>
          <w:p>
            <w:r>
              <w:t>Physical quantity</w:t>
            </w:r>
          </w:p>
        </w:tc>
        <w:tc>
          <w:tcPr>
            <w:tcW w:type="dxa" w:w="3408"/>
          </w:tcPr>
          <w:p>
            <w:r>
              <w:t>Every integer within explicit/current feasible bound</w:t>
            </w:r>
          </w:p>
        </w:tc>
        <w:tc>
          <w:tcPr>
            <w:tcW w:type="dxa" w:w="3408"/>
          </w:tcPr>
          <w:p>
            <w:r>
              <w:t>RESOLVED</w:t>
            </w:r>
          </w:p>
        </w:tc>
      </w:tr>
      <w:tr>
        <w:tc>
          <w:tcPr>
            <w:tcW w:type="dxa" w:w="3408"/>
          </w:tcPr>
          <w:p>
            <w:r>
              <w:t>Time/deadline/duration</w:t>
            </w:r>
          </w:p>
        </w:tc>
        <w:tc>
          <w:tcPr>
            <w:tcW w:type="dxa" w:w="3408"/>
          </w:tcPr>
          <w:p>
            <w:r>
              <w:t>Integer periods within applicable frozen window</w:t>
            </w:r>
          </w:p>
        </w:tc>
        <w:tc>
          <w:tcPr>
            <w:tcW w:type="dxa" w:w="3408"/>
          </w:tcPr>
          <w:p>
            <w:r>
              <w:t>RESOLVED as enumeration rule; family semantics may remain incomplete</w:t>
            </w:r>
          </w:p>
        </w:tc>
      </w:tr>
      <w:tr>
        <w:tc>
          <w:tcPr>
            <w:tcW w:type="dxa" w:w="3408"/>
          </w:tcPr>
          <w:p>
            <w:r>
              <w:t>Explicit increments</w:t>
            </w:r>
          </w:p>
        </w:tc>
        <w:tc>
          <w:tcPr>
            <w:tcW w:type="dxa" w:w="3408"/>
          </w:tcPr>
          <w:p>
            <w:r>
              <w:t>Use stated increment exactly (e.g., $50k draw)</w:t>
            </w:r>
          </w:p>
        </w:tc>
        <w:tc>
          <w:tcPr>
            <w:tcW w:type="dxa" w:w="3408"/>
          </w:tcPr>
          <w:p>
            <w:r>
              <w:t>RESOLVED</w:t>
            </w:r>
          </w:p>
        </w:tc>
      </w:tr>
      <w:tr>
        <w:tc>
          <w:tcPr>
            <w:tcW w:type="dxa" w:w="3408"/>
          </w:tcPr>
          <w:p>
            <w:r>
              <w:t>Categorical mode</w:t>
            </w:r>
          </w:p>
        </w:tc>
        <w:tc>
          <w:tcPr>
            <w:tcW w:type="dxa" w:w="3408"/>
          </w:tcPr>
          <w:p>
            <w:r>
              <w:t>Use listed categories exactly</w:t>
            </w:r>
          </w:p>
        </w:tc>
        <w:tc>
          <w:tcPr>
            <w:tcW w:type="dxa" w:w="3408"/>
          </w:tcPr>
          <w:p>
            <w:r>
              <w:t>RESOLVED</w:t>
            </w:r>
          </w:p>
        </w:tc>
      </w:tr>
      <w:tr>
        <w:tc>
          <w:tcPr>
            <w:tcW w:type="dxa" w:w="3408"/>
          </w:tcPr>
          <w:p>
            <w:r>
              <w:t>Undefined cost/transition</w:t>
            </w:r>
          </w:p>
        </w:tc>
        <w:tc>
          <w:tcPr>
            <w:tcW w:type="dxa" w:w="3408"/>
          </w:tcPr>
          <w:p>
            <w:r>
              <w:t>No interpolation; mark semantic incompleteness</w:t>
            </w:r>
          </w:p>
        </w:tc>
        <w:tc>
          <w:tcPr>
            <w:tcW w:type="dxa" w:w="3408"/>
          </w:tcPr>
          <w:p>
            <w:r>
              <w:t>RESOLVED governance rule</w:t>
            </w:r>
          </w:p>
        </w:tc>
      </w:tr>
      <w:tr>
        <w:tc>
          <w:tcPr>
            <w:tcW w:type="dxa" w:w="3408"/>
          </w:tcPr>
          <w:p>
            <w:r>
              <w:t>Oracle infeasibility</w:t>
            </w:r>
          </w:p>
        </w:tc>
        <w:tc>
          <w:tcPr>
            <w:tcW w:type="dxa" w:w="3408"/>
          </w:tcPr>
          <w:p>
            <w:r>
              <w:t>Requires exhaustive complete grammar or validated certificate</w:t>
            </w:r>
          </w:p>
        </w:tc>
        <w:tc>
          <w:tcPr>
            <w:tcW w:type="dxa" w:w="3408"/>
          </w:tcPr>
          <w:p>
            <w:r>
              <w:t>RESOLVED</w:t>
            </w:r>
          </w:p>
        </w:tc>
      </w:tr>
      <w:tr>
        <w:tc>
          <w:tcPr>
            <w:tcW w:type="dxa" w:w="3408"/>
          </w:tcPr>
          <w:p>
            <w:r>
              <w:t>S2 reservation 1-59</w:t>
            </w:r>
          </w:p>
        </w:tc>
        <w:tc>
          <w:tcPr>
            <w:tcW w:type="dxa" w:w="3408"/>
          </w:tcPr>
          <w:p>
            <w:r>
              <w:t>Fee transformation absent</w:t>
            </w:r>
          </w:p>
        </w:tc>
        <w:tc>
          <w:tcPr>
            <w:tcW w:type="dxa" w:w="3408"/>
          </w:tcPr>
          <w:p>
            <w:r>
              <w:t>OPEN FIXTURE SEMANTICS</w:t>
            </w:r>
          </w:p>
        </w:tc>
      </w:tr>
      <w:tr>
        <w:tc>
          <w:tcPr>
            <w:tcW w:type="dxa" w:w="3408"/>
          </w:tcPr>
          <w:p>
            <w:r>
              <w:t>Full multi-agent action catalog</w:t>
            </w:r>
          </w:p>
        </w:tc>
        <w:tc>
          <w:tcPr>
            <w:tcW w:type="dxa" w:w="3408"/>
          </w:tcPr>
          <w:p>
            <w:r>
              <w:t>Several parameter-to-transition mappings incomplete in code/spec</w:t>
            </w:r>
          </w:p>
        </w:tc>
        <w:tc>
          <w:tcPr>
            <w:tcW w:type="dxa" w:w="3408"/>
          </w:tcPr>
          <w:p>
            <w:r>
              <w:t>OPEN BEFORE CALIBRATION LOCK</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Benchmark Action-Parameterization Resolution v0.10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