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Multi-Agent Productive System Stress Benchmark</w:t>
        <w:br/>
        <w:t>Calibration Lock Record — Version 1.0</w:t>
      </w:r>
    </w:p>
    <w:p>
      <w:pPr>
        <w:jc w:val="center"/>
      </w:pPr>
      <w:r>
        <w:rPr>
          <w:i/>
        </w:rPr>
        <w:t>31 August 2026 • Asterion Benchmark v1.0</w:t>
      </w:r>
    </w:p>
    <w:p>
      <w:r>
        <w:rPr>
          <w:b/>
        </w:rPr>
        <w:t xml:space="preserve">LOCK DECISION: </w:t>
      </w:r>
      <w:r>
        <w:t>CALIBRATION LOCK ISSUED. PRIMARY COMPARATIVE EXECUTION AUTHORIZED AS THE NEXT PHASE, subject to use of the exact locked authority, code, configuration, seed ordering, and computation ceilings recorded here. No primary comparative run has yet been executed.</w:t>
      </w:r>
    </w:p>
    <w:p>
      <w:pPr>
        <w:pStyle w:val="Heading1"/>
      </w:pPr>
      <w:r>
        <w:t>1. Purpose and Authority</w:t>
      </w:r>
    </w:p>
    <w:p>
      <w:r>
        <w:t>This record completes the two-stage freeze sequence established by the Pre-Implementation Freeze Manifest and Pre-Freeze Closure Audit. The paper architecture was frozen first; calibration-only implementation then resolved implementation defects, measured computation limits, selected the controller-free stochastic ensemble size, and closed the action-grammar completeness gate. This document freezes the resulting implementation state before any A/B/C comparative research execution.</w:t>
      </w:r>
    </w:p>
    <w:p>
      <w:r>
        <w:t>The authority chain for this lock is: v0.1-v0.6 benchmark specifications; v0.8 Resolution Addendum; v0.8.1 Calibration and Manual Trace Record; v0.9 Closure Audit; Pre-Implementation Freeze Manifest v1.0; Action Parameterization v0.10; Action Semantics v0.11; and Counterpart and Contract Semantics Closure Fixture v0.12. v0.12 is benchmark-only and does not alter canonical PV-PP theory.</w:t>
      </w:r>
    </w:p>
    <w:p>
      <w:pPr>
        <w:pStyle w:val="Heading1"/>
      </w:pPr>
      <w:r>
        <w:t>2. Reference Runtime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5"/>
              </w:rPr>
              <w:t>Item</w:t>
            </w:r>
          </w:p>
        </w:tc>
        <w:tc>
          <w:tcPr>
            <w:tcW w:type="dxa" w:w="5112"/>
            <w:vAlign w:val="center"/>
          </w:tcPr>
          <w:p>
            <w:r>
              <w:rPr>
                <w:b/>
                <w:sz w:val="15"/>
              </w:rPr>
              <w:t>Locked calibration reference</w:t>
            </w:r>
          </w:p>
        </w:tc>
      </w:tr>
      <w:tr>
        <w:tc>
          <w:tcPr>
            <w:tcW w:type="dxa" w:w="5112"/>
            <w:vAlign w:val="center"/>
          </w:tcPr>
          <w:p>
            <w:r>
              <w:rPr>
                <w:sz w:val="15"/>
              </w:rPr>
              <w:t>Operating system</w:t>
            </w:r>
          </w:p>
        </w:tc>
        <w:tc>
          <w:tcPr>
            <w:tcW w:type="dxa" w:w="5112"/>
            <w:vAlign w:val="center"/>
          </w:tcPr>
          <w:p>
            <w:r>
              <w:rPr>
                <w:sz w:val="15"/>
              </w:rPr>
              <w:t>Linux 6.18.35 x86_64, glibc 2.41</w:t>
            </w:r>
          </w:p>
        </w:tc>
      </w:tr>
      <w:tr>
        <w:tc>
          <w:tcPr>
            <w:tcW w:type="dxa" w:w="5112"/>
            <w:vAlign w:val="center"/>
          </w:tcPr>
          <w:p>
            <w:r>
              <w:rPr>
                <w:sz w:val="15"/>
              </w:rPr>
              <w:t>Python</w:t>
            </w:r>
          </w:p>
        </w:tc>
        <w:tc>
          <w:tcPr>
            <w:tcW w:type="dxa" w:w="5112"/>
            <w:vAlign w:val="center"/>
          </w:tcPr>
          <w:p>
            <w:r>
              <w:rPr>
                <w:sz w:val="15"/>
              </w:rPr>
              <w:t>3.13.5</w:t>
            </w:r>
          </w:p>
        </w:tc>
      </w:tr>
      <w:tr>
        <w:tc>
          <w:tcPr>
            <w:tcW w:type="dxa" w:w="5112"/>
            <w:vAlign w:val="center"/>
          </w:tcPr>
          <w:p>
            <w:r>
              <w:rPr>
                <w:sz w:val="15"/>
              </w:rPr>
              <w:t>Logical CPUs visible to runtime</w:t>
            </w:r>
          </w:p>
        </w:tc>
        <w:tc>
          <w:tcPr>
            <w:tcW w:type="dxa" w:w="5112"/>
            <w:vAlign w:val="center"/>
          </w:tcPr>
          <w:p>
            <w:r>
              <w:rPr>
                <w:sz w:val="15"/>
              </w:rPr>
              <w:t>5</w:t>
            </w:r>
          </w:p>
        </w:tc>
      </w:tr>
      <w:tr>
        <w:tc>
          <w:tcPr>
            <w:tcW w:type="dxa" w:w="5112"/>
            <w:vAlign w:val="center"/>
          </w:tcPr>
          <w:p>
            <w:r>
              <w:rPr>
                <w:sz w:val="15"/>
              </w:rPr>
              <w:t>Concurrency</w:t>
            </w:r>
          </w:p>
        </w:tc>
        <w:tc>
          <w:tcPr>
            <w:tcW w:type="dxa" w:w="5112"/>
            <w:vAlign w:val="center"/>
          </w:tcPr>
          <w:p>
            <w:r>
              <w:rPr>
                <w:sz w:val="15"/>
              </w:rPr>
              <w:t>Single-process calibration/test execution; no controller-specific concurrency advantage</w:t>
            </w:r>
          </w:p>
        </w:tc>
      </w:tr>
      <w:tr>
        <w:tc>
          <w:tcPr>
            <w:tcW w:type="dxa" w:w="5112"/>
            <w:vAlign w:val="center"/>
          </w:tcPr>
          <w:p>
            <w:r>
              <w:rPr>
                <w:sz w:val="15"/>
              </w:rPr>
              <w:t>Timing basis</w:t>
            </w:r>
          </w:p>
        </w:tc>
        <w:tc>
          <w:tcPr>
            <w:tcW w:type="dxa" w:w="5112"/>
            <w:vAlign w:val="center"/>
          </w:tcPr>
          <w:p>
            <w:r>
              <w:rPr>
                <w:sz w:val="15"/>
              </w:rPr>
              <w:t>Python perf_counter wall-clock measurement for controller compute ceilings</w:t>
            </w:r>
          </w:p>
        </w:tc>
      </w:tr>
      <w:tr>
        <w:tc>
          <w:tcPr>
            <w:tcW w:type="dxa" w:w="5112"/>
            <w:vAlign w:val="center"/>
          </w:tcPr>
          <w:p>
            <w:r>
              <w:rPr>
                <w:sz w:val="15"/>
              </w:rPr>
              <w:t>Primary comparison status at lock time</w:t>
            </w:r>
          </w:p>
        </w:tc>
        <w:tc>
          <w:tcPr>
            <w:tcW w:type="dxa" w:w="5112"/>
            <w:vAlign w:val="center"/>
          </w:tcPr>
          <w:p>
            <w:r>
              <w:rPr>
                <w:sz w:val="15"/>
              </w:rPr>
              <w:t>Not executed</w:t>
            </w:r>
          </w:p>
        </w:tc>
      </w:tr>
    </w:tbl>
    <w:p>
      <w:r>
        <w:t>The wall-clock ceiling is a calibration reference, not a claim that another physical machine will have identical elapsed time. Any later migration to materially different hardware/runtime must be recorded; the transition-evaluation ceiling remains the architecture-neutral hard comparator.</w:t>
      </w:r>
    </w:p>
    <w:p>
      <w:pPr>
        <w:pStyle w:val="Heading1"/>
      </w:pPr>
      <w:r>
        <w:t>3. Locked Computation Ceiling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5"/>
              </w:rPr>
              <w:t>Parameter</w:t>
            </w:r>
          </w:p>
        </w:tc>
        <w:tc>
          <w:tcPr>
            <w:tcW w:type="dxa" w:w="5112"/>
            <w:vAlign w:val="center"/>
          </w:tcPr>
          <w:p>
            <w:r>
              <w:rPr>
                <w:b/>
                <w:sz w:val="15"/>
              </w:rPr>
              <w:t>Locked value</w:t>
            </w:r>
          </w:p>
        </w:tc>
      </w:tr>
      <w:tr>
        <w:tc>
          <w:tcPr>
            <w:tcW w:type="dxa" w:w="5112"/>
            <w:vAlign w:val="center"/>
          </w:tcPr>
          <w:p>
            <w:r>
              <w:rPr>
                <w:sz w:val="15"/>
              </w:rPr>
              <w:t>Planning horizon</w:t>
            </w:r>
          </w:p>
        </w:tc>
        <w:tc>
          <w:tcPr>
            <w:tcW w:type="dxa" w:w="5112"/>
            <w:vAlign w:val="center"/>
          </w:tcPr>
          <w:p>
            <w:r>
              <w:rPr>
                <w:sz w:val="15"/>
              </w:rPr>
              <w:t>4 public transitions</w:t>
            </w:r>
          </w:p>
        </w:tc>
      </w:tr>
      <w:tr>
        <w:tc>
          <w:tcPr>
            <w:tcW w:type="dxa" w:w="5112"/>
            <w:vAlign w:val="center"/>
          </w:tcPr>
          <w:p>
            <w:r>
              <w:rPr>
                <w:sz w:val="15"/>
              </w:rPr>
              <w:t>Transition-evaluation ceiling</w:t>
            </w:r>
          </w:p>
        </w:tc>
        <w:tc>
          <w:tcPr>
            <w:tcW w:type="dxa" w:w="5112"/>
            <w:vAlign w:val="center"/>
          </w:tcPr>
          <w:p>
            <w:r>
              <w:rPr>
                <w:sz w:val="15"/>
              </w:rPr>
              <w:t>10,000</w:t>
            </w:r>
          </w:p>
        </w:tc>
      </w:tr>
      <w:tr>
        <w:tc>
          <w:tcPr>
            <w:tcW w:type="dxa" w:w="5112"/>
            <w:vAlign w:val="center"/>
          </w:tcPr>
          <w:p>
            <w:r>
              <w:rPr>
                <w:sz w:val="15"/>
              </w:rPr>
              <w:t>Wall-clock ceiling</w:t>
            </w:r>
          </w:p>
        </w:tc>
        <w:tc>
          <w:tcPr>
            <w:tcW w:type="dxa" w:w="5112"/>
            <w:vAlign w:val="center"/>
          </w:tcPr>
          <w:p>
            <w:r>
              <w:rPr>
                <w:sz w:val="15"/>
              </w:rPr>
              <w:t>2.0 seconds</w:t>
            </w:r>
          </w:p>
        </w:tc>
      </w:tr>
      <w:tr>
        <w:tc>
          <w:tcPr>
            <w:tcW w:type="dxa" w:w="5112"/>
            <w:vAlign w:val="center"/>
          </w:tcPr>
          <w:p>
            <w:r>
              <w:rPr>
                <w:sz w:val="15"/>
              </w:rPr>
              <w:t>Projection-path ceiling</w:t>
            </w:r>
          </w:p>
        </w:tc>
        <w:tc>
          <w:tcPr>
            <w:tcW w:type="dxa" w:w="5112"/>
            <w:vAlign w:val="center"/>
          </w:tcPr>
          <w:p>
            <w:r>
              <w:rPr>
                <w:sz w:val="15"/>
              </w:rPr>
              <w:t>256</w:t>
            </w:r>
          </w:p>
        </w:tc>
      </w:tr>
      <w:tr>
        <w:tc>
          <w:tcPr>
            <w:tcW w:type="dxa" w:w="5112"/>
            <w:vAlign w:val="center"/>
          </w:tcPr>
          <w:p>
            <w:r>
              <w:rPr>
                <w:sz w:val="15"/>
              </w:rPr>
              <w:t>PV-PP A ordinary-fixture completion</w:t>
            </w:r>
          </w:p>
        </w:tc>
        <w:tc>
          <w:tcPr>
            <w:tcW w:type="dxa" w:w="5112"/>
            <w:vAlign w:val="center"/>
          </w:tcPr>
          <w:p>
            <w:r>
              <w:rPr>
                <w:sz w:val="15"/>
              </w:rPr>
              <w:t>100.0%</w:t>
            </w:r>
          </w:p>
        </w:tc>
      </w:tr>
      <w:tr>
        <w:tc>
          <w:tcPr>
            <w:tcW w:type="dxa" w:w="5112"/>
            <w:vAlign w:val="center"/>
          </w:tcPr>
          <w:p>
            <w:r>
              <w:rPr>
                <w:sz w:val="15"/>
              </w:rPr>
              <w:t>Scalar B ordinary-fixture completion</w:t>
            </w:r>
          </w:p>
        </w:tc>
        <w:tc>
          <w:tcPr>
            <w:tcW w:type="dxa" w:w="5112"/>
            <w:vAlign w:val="center"/>
          </w:tcPr>
          <w:p>
            <w:r>
              <w:rPr>
                <w:sz w:val="15"/>
              </w:rPr>
              <w:t>100.0%</w:t>
            </w:r>
          </w:p>
        </w:tc>
      </w:tr>
      <w:tr>
        <w:tc>
          <w:tcPr>
            <w:tcW w:type="dxa" w:w="5112"/>
            <w:vAlign w:val="center"/>
          </w:tcPr>
          <w:p>
            <w:r>
              <w:rPr>
                <w:sz w:val="15"/>
              </w:rPr>
              <w:t>Multiplier selected</w:t>
            </w:r>
          </w:p>
        </w:tc>
        <w:tc>
          <w:tcPr>
            <w:tcW w:type="dxa" w:w="5112"/>
            <w:vAlign w:val="center"/>
          </w:tcPr>
          <w:p>
            <w:r>
              <w:rPr>
                <w:sz w:val="15"/>
              </w:rPr>
              <w:t>1</w:t>
            </w:r>
          </w:p>
        </w:tc>
      </w:tr>
    </w:tbl>
    <w:p>
      <w:r>
        <w:t>The completed v0.12 action surface was present when this calibration was rerun. Both controllers passed at multiplier 1; no increase was required.</w:t>
      </w:r>
    </w:p>
    <w:p>
      <w:pPr>
        <w:pStyle w:val="Heading1"/>
      </w:pPr>
      <w:r>
        <w:t>4. Locked Seed Ensemble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5"/>
              </w:rPr>
              <w:t>Item</w:t>
            </w:r>
          </w:p>
        </w:tc>
        <w:tc>
          <w:tcPr>
            <w:tcW w:type="dxa" w:w="5112"/>
            <w:vAlign w:val="center"/>
          </w:tcPr>
          <w:p>
            <w:r>
              <w:rPr>
                <w:b/>
                <w:sz w:val="15"/>
              </w:rPr>
              <w:t>Locked value</w:t>
            </w:r>
          </w:p>
        </w:tc>
      </w:tr>
      <w:tr>
        <w:tc>
          <w:tcPr>
            <w:tcW w:type="dxa" w:w="5112"/>
            <w:vAlign w:val="center"/>
          </w:tcPr>
          <w:p>
            <w:r>
              <w:rPr>
                <w:sz w:val="15"/>
              </w:rPr>
              <w:t>Namespace</w:t>
            </w:r>
          </w:p>
        </w:tc>
        <w:tc>
          <w:tcPr>
            <w:tcW w:type="dxa" w:w="5112"/>
            <w:vAlign w:val="center"/>
          </w:tcPr>
          <w:p>
            <w:r>
              <w:rPr>
                <w:sz w:val="15"/>
              </w:rPr>
              <w:t>PVPP-ASTERION-PRIMARY-SEEDS-v1</w:t>
            </w:r>
          </w:p>
        </w:tc>
      </w:tr>
      <w:tr>
        <w:tc>
          <w:tcPr>
            <w:tcW w:type="dxa" w:w="5112"/>
            <w:vAlign w:val="center"/>
          </w:tcPr>
          <w:p>
            <w:r>
              <w:rPr>
                <w:sz w:val="15"/>
              </w:rPr>
              <w:t>Master seed count</w:t>
            </w:r>
          </w:p>
        </w:tc>
        <w:tc>
          <w:tcPr>
            <w:tcW w:type="dxa" w:w="5112"/>
            <w:vAlign w:val="center"/>
          </w:tcPr>
          <w:p>
            <w:r>
              <w:rPr>
                <w:sz w:val="15"/>
              </w:rPr>
              <w:t>1,000</w:t>
            </w:r>
          </w:p>
        </w:tc>
      </w:tr>
      <w:tr>
        <w:tc>
          <w:tcPr>
            <w:tcW w:type="dxa" w:w="5112"/>
            <w:vAlign w:val="center"/>
          </w:tcPr>
          <w:p>
            <w:r>
              <w:rPr>
                <w:sz w:val="15"/>
              </w:rPr>
              <w:t>Selection rule</w:t>
            </w:r>
          </w:p>
        </w:tc>
        <w:tc>
          <w:tcPr>
            <w:tcW w:type="dxa" w:w="5112"/>
            <w:vAlign w:val="center"/>
          </w:tcPr>
          <w:p>
            <w:r>
              <w:rPr>
                <w:sz w:val="15"/>
              </w:rPr>
              <w:t>Smallest prefix in {100,250,500,1000} satisfying the frozen controller-free stability/rare-event rule</w:t>
            </w:r>
          </w:p>
        </w:tc>
      </w:tr>
      <w:tr>
        <w:tc>
          <w:tcPr>
            <w:tcW w:type="dxa" w:w="5112"/>
            <w:vAlign w:val="center"/>
          </w:tcPr>
          <w:p>
            <w:r>
              <w:rPr>
                <w:sz w:val="15"/>
              </w:rPr>
              <w:t>Selected N</w:t>
            </w:r>
          </w:p>
        </w:tc>
        <w:tc>
          <w:tcPr>
            <w:tcW w:type="dxa" w:w="5112"/>
            <w:vAlign w:val="center"/>
          </w:tcPr>
          <w:p>
            <w:r>
              <w:rPr>
                <w:sz w:val="15"/>
              </w:rPr>
              <w:t>1,000</w:t>
            </w:r>
          </w:p>
        </w:tc>
      </w:tr>
      <w:tr>
        <w:tc>
          <w:tcPr>
            <w:tcW w:type="dxa" w:w="5112"/>
            <w:vAlign w:val="center"/>
          </w:tcPr>
          <w:p>
            <w:r>
              <w:rPr>
                <w:sz w:val="15"/>
              </w:rPr>
              <w:t>Master seed file SHA-256</w:t>
            </w:r>
          </w:p>
        </w:tc>
        <w:tc>
          <w:tcPr>
            <w:tcW w:type="dxa" w:w="5112"/>
            <w:vAlign w:val="center"/>
          </w:tcPr>
          <w:p>
            <w:r>
              <w:rPr>
                <w:sz w:val="15"/>
              </w:rPr>
              <w:t>45e101bd523c3bcdb50bfcc83c0fbaf083e2d105e82897c9987855cee1aae3b4</w:t>
            </w:r>
          </w:p>
        </w:tc>
      </w:tr>
      <w:tr>
        <w:tc>
          <w:tcPr>
            <w:tcW w:type="dxa" w:w="5112"/>
            <w:vAlign w:val="center"/>
          </w:tcPr>
          <w:p>
            <w:r>
              <w:rPr>
                <w:sz w:val="15"/>
              </w:rPr>
              <w:t>Ensemble calibration SHA-256</w:t>
            </w:r>
          </w:p>
        </w:tc>
        <w:tc>
          <w:tcPr>
            <w:tcW w:type="dxa" w:w="5112"/>
            <w:vAlign w:val="center"/>
          </w:tcPr>
          <w:p>
            <w:r>
              <w:rPr>
                <w:sz w:val="15"/>
              </w:rPr>
              <w:t>835a957efd20442a60d0a8db95a199f426bd0af27e9ced82dae8141511376ad1</w:t>
            </w:r>
          </w:p>
        </w:tc>
      </w:tr>
    </w:tbl>
    <w:p>
      <w:r>
        <w:t>N was selected solely from controller-free event traces. No A/B/C outcome was available to the selection procedure. Seed dropping, reordering, replacement, or N selection based on comparative results is prohibited.</w:t>
      </w:r>
    </w:p>
    <w:p>
      <w:pPr>
        <w:pStyle w:val="Heading1"/>
      </w:pPr>
      <w:r>
        <w:t>5. Conformance and Pre-Lock Results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5"/>
              </w:rPr>
              <w:t>Gate</w:t>
            </w:r>
          </w:p>
        </w:tc>
        <w:tc>
          <w:tcPr>
            <w:tcW w:type="dxa" w:w="5112"/>
            <w:vAlign w:val="center"/>
          </w:tcPr>
          <w:p>
            <w:r>
              <w:rPr>
                <w:b/>
                <w:sz w:val="15"/>
              </w:rPr>
              <w:t>Result</w:t>
            </w:r>
          </w:p>
        </w:tc>
      </w:tr>
      <w:tr>
        <w:tc>
          <w:tcPr>
            <w:tcW w:type="dxa" w:w="5112"/>
            <w:vAlign w:val="center"/>
          </w:tcPr>
          <w:p>
            <w:r>
              <w:rPr>
                <w:sz w:val="15"/>
              </w:rPr>
              <w:t>Automated conformance suite</w:t>
            </w:r>
          </w:p>
        </w:tc>
        <w:tc>
          <w:tcPr>
            <w:tcW w:type="dxa" w:w="5112"/>
            <w:vAlign w:val="center"/>
          </w:tcPr>
          <w:p>
            <w:r>
              <w:rPr>
                <w:sz w:val="15"/>
              </w:rPr>
              <w:t>PASS — 47/47 tests</w:t>
            </w:r>
          </w:p>
        </w:tc>
      </w:tr>
      <w:tr>
        <w:tc>
          <w:tcPr>
            <w:tcW w:type="dxa" w:w="5112"/>
            <w:vAlign w:val="center"/>
          </w:tcPr>
          <w:p>
            <w:r>
              <w:rPr>
                <w:sz w:val="15"/>
              </w:rPr>
              <w:t>Primary execution lock during calibration</w:t>
            </w:r>
          </w:p>
        </w:tc>
        <w:tc>
          <w:tcPr>
            <w:tcW w:type="dxa" w:w="5112"/>
            <w:vAlign w:val="center"/>
          </w:tcPr>
          <w:p>
            <w:r>
              <w:rPr>
                <w:sz w:val="15"/>
              </w:rPr>
              <w:t>PASS — remained locked</w:t>
            </w:r>
          </w:p>
        </w:tc>
      </w:tr>
      <w:tr>
        <w:tc>
          <w:tcPr>
            <w:tcW w:type="dxa" w:w="5112"/>
            <w:vAlign w:val="center"/>
          </w:tcPr>
          <w:p>
            <w:r>
              <w:rPr>
                <w:sz w:val="15"/>
              </w:rPr>
              <w:t>T1-T12 coverage</w:t>
            </w:r>
          </w:p>
        </w:tc>
        <w:tc>
          <w:tcPr>
            <w:tcW w:type="dxa" w:w="5112"/>
            <w:vAlign w:val="center"/>
          </w:tcPr>
          <w:p>
            <w:r>
              <w:rPr>
                <w:sz w:val="15"/>
              </w:rPr>
              <w:t>PASS — each named paper fixture represented; additional end-to-end engine fixtures cover transition-critical cases</w:t>
            </w:r>
          </w:p>
        </w:tc>
      </w:tr>
      <w:tr>
        <w:tc>
          <w:tcPr>
            <w:tcW w:type="dxa" w:w="5112"/>
            <w:vAlign w:val="center"/>
          </w:tcPr>
          <w:p>
            <w:r>
              <w:rPr>
                <w:sz w:val="15"/>
              </w:rPr>
              <w:t>Semantic event-key randomness</w:t>
            </w:r>
          </w:p>
        </w:tc>
        <w:tc>
          <w:tcPr>
            <w:tcW w:type="dxa" w:w="5112"/>
            <w:vAlign w:val="center"/>
          </w:tcPr>
          <w:p>
            <w:r>
              <w:rPr>
                <w:sz w:val="15"/>
              </w:rPr>
              <w:t>PASS</w:t>
            </w:r>
          </w:p>
        </w:tc>
      </w:tr>
      <w:tr>
        <w:tc>
          <w:tcPr>
            <w:tcW w:type="dxa" w:w="5112"/>
            <w:vAlign w:val="center"/>
          </w:tcPr>
          <w:p>
            <w:r>
              <w:rPr>
                <w:sz w:val="15"/>
              </w:rPr>
              <w:t>PRE/POST/ORACLE isolation</w:t>
            </w:r>
          </w:p>
        </w:tc>
        <w:tc>
          <w:tcPr>
            <w:tcW w:type="dxa" w:w="5112"/>
            <w:vAlign w:val="center"/>
          </w:tcPr>
          <w:p>
            <w:r>
              <w:rPr>
                <w:sz w:val="15"/>
              </w:rPr>
              <w:t>PASS</w:t>
            </w:r>
          </w:p>
        </w:tc>
      </w:tr>
      <w:tr>
        <w:tc>
          <w:tcPr>
            <w:tcW w:type="dxa" w:w="5112"/>
            <w:vAlign w:val="center"/>
          </w:tcPr>
          <w:p>
            <w:r>
              <w:rPr>
                <w:sz w:val="15"/>
              </w:rPr>
              <w:t>Common grammar / controller parity</w:t>
            </w:r>
          </w:p>
        </w:tc>
        <w:tc>
          <w:tcPr>
            <w:tcW w:type="dxa" w:w="5112"/>
            <w:vAlign w:val="center"/>
          </w:tcPr>
          <w:p>
            <w:r>
              <w:rPr>
                <w:sz w:val="15"/>
              </w:rPr>
              <w:t>PASS</w:t>
            </w:r>
          </w:p>
        </w:tc>
      </w:tr>
      <w:tr>
        <w:tc>
          <w:tcPr>
            <w:tcW w:type="dxa" w:w="5112"/>
            <w:vAlign w:val="center"/>
          </w:tcPr>
          <w:p>
            <w:r>
              <w:rPr>
                <w:sz w:val="15"/>
              </w:rPr>
              <w:t>Actual PP vs accessible PP encumbrance</w:t>
            </w:r>
          </w:p>
        </w:tc>
        <w:tc>
          <w:tcPr>
            <w:tcW w:type="dxa" w:w="5112"/>
            <w:vAlign w:val="center"/>
          </w:tcPr>
          <w:p>
            <w:r>
              <w:rPr>
                <w:sz w:val="15"/>
              </w:rPr>
              <w:t>PASS</w:t>
            </w:r>
          </w:p>
        </w:tc>
      </w:tr>
      <w:tr>
        <w:tc>
          <w:tcPr>
            <w:tcW w:type="dxa" w:w="5112"/>
            <w:vAlign w:val="center"/>
          </w:tcPr>
          <w:p>
            <w:r>
              <w:rPr>
                <w:sz w:val="15"/>
              </w:rPr>
              <w:t>Proposal/commitment separation</w:t>
            </w:r>
          </w:p>
        </w:tc>
        <w:tc>
          <w:tcPr>
            <w:tcW w:type="dxa" w:w="5112"/>
            <w:vAlign w:val="center"/>
          </w:tcPr>
          <w:p>
            <w:r>
              <w:rPr>
                <w:sz w:val="15"/>
              </w:rPr>
              <w:t>PASS</w:t>
            </w:r>
          </w:p>
        </w:tc>
      </w:tr>
      <w:tr>
        <w:tc>
          <w:tcPr>
            <w:tcW w:type="dxa" w:w="5112"/>
            <w:vAlign w:val="center"/>
          </w:tcPr>
          <w:p>
            <w:r>
              <w:rPr>
                <w:sz w:val="15"/>
              </w:rPr>
              <w:t>Separate-agent information firewall</w:t>
            </w:r>
          </w:p>
        </w:tc>
        <w:tc>
          <w:tcPr>
            <w:tcW w:type="dxa" w:w="5112"/>
            <w:vAlign w:val="center"/>
          </w:tcPr>
          <w:p>
            <w:r>
              <w:rPr>
                <w:sz w:val="15"/>
              </w:rPr>
              <w:t>PASS</w:t>
            </w:r>
          </w:p>
        </w:tc>
      </w:tr>
      <w:tr>
        <w:tc>
          <w:tcPr>
            <w:tcW w:type="dxa" w:w="5112"/>
            <w:vAlign w:val="center"/>
          </w:tcPr>
          <w:p>
            <w:r>
              <w:rPr>
                <w:sz w:val="15"/>
              </w:rPr>
              <w:t>O1/O2 conservative classification</w:t>
            </w:r>
          </w:p>
        </w:tc>
        <w:tc>
          <w:tcPr>
            <w:tcW w:type="dxa" w:w="5112"/>
            <w:vAlign w:val="center"/>
          </w:tcPr>
          <w:p>
            <w:r>
              <w:rPr>
                <w:sz w:val="15"/>
              </w:rPr>
              <w:t>PASS</w:t>
            </w:r>
          </w:p>
        </w:tc>
      </w:tr>
      <w:tr>
        <w:tc>
          <w:tcPr>
            <w:tcW w:type="dxa" w:w="5112"/>
            <w:vAlign w:val="center"/>
          </w:tcPr>
          <w:p>
            <w:r>
              <w:rPr>
                <w:sz w:val="15"/>
              </w:rPr>
              <w:t>Default action-grammar semantic completeness</w:t>
            </w:r>
          </w:p>
        </w:tc>
        <w:tc>
          <w:tcPr>
            <w:tcW w:type="dxa" w:w="5112"/>
            <w:vAlign w:val="center"/>
          </w:tcPr>
          <w:p>
            <w:r>
              <w:rPr>
                <w:sz w:val="15"/>
              </w:rPr>
              <w:t>PASS after v0.12</w:t>
            </w:r>
          </w:p>
        </w:tc>
      </w:tr>
      <w:tr>
        <w:tc>
          <w:tcPr>
            <w:tcW w:type="dxa" w:w="5112"/>
            <w:vAlign w:val="center"/>
          </w:tcPr>
          <w:p>
            <w:r>
              <w:rPr>
                <w:sz w:val="15"/>
              </w:rPr>
              <w:t>Controller-free primary scenario dry trace</w:t>
            </w:r>
          </w:p>
        </w:tc>
        <w:tc>
          <w:tcPr>
            <w:tcW w:type="dxa" w:w="5112"/>
            <w:vAlign w:val="center"/>
          </w:tcPr>
          <w:p>
            <w:r>
              <w:rPr>
                <w:sz w:val="15"/>
              </w:rPr>
              <w:t>PASS; no A/B/C comparison performed</w:t>
            </w:r>
          </w:p>
        </w:tc>
      </w:tr>
    </w:tbl>
    <w:p>
      <w:r>
        <w:t>O1/O2 retain the conservative proof rule: budget exhaustion is UNDETERMINED. PROVEN_INFEASIBLE is permitted only after exhaustive traversal of the complete reachable grammar or a validated state/horizon-specific completeness certificate.</w:t>
      </w:r>
    </w:p>
    <w:p>
      <w:pPr>
        <w:pStyle w:val="Heading1"/>
      </w:pPr>
      <w:r>
        <w:t>6. Implementation-Discovered Corrections</w:t>
      </w:r>
    </w:p>
    <w:p>
      <w:pPr>
        <w:pStyle w:val="ListBullet"/>
      </w:pPr>
      <w:r>
        <w:t>The first diagnostic oracle quantity grid (0/40/60/80) was rejected as unauthorized and removed before lock.</w:t>
      </w:r>
    </w:p>
    <w:p>
      <w:pPr>
        <w:pStyle w:val="ListBullet"/>
      </w:pPr>
      <w:r>
        <w:t>Physical flow expansion was changed to the source-supported integer-unit lattice; explicit step rules such as $50k credit draws remain exact.</w:t>
      </w:r>
    </w:p>
    <w:p>
      <w:pPr>
        <w:pStyle w:val="ListBullet"/>
      </w:pPr>
      <w:r>
        <w:t>Same-period production/shipment ordering was corrected so production may supply a simultaneously accepted outbound shipment.</w:t>
      </w:r>
    </w:p>
    <w:p>
      <w:pPr>
        <w:pStyle w:val="ListBullet"/>
      </w:pPr>
      <w:r>
        <w:t>Temporary qualification encumbrance was corrected to reduce accessibility without destroying underlying PP and to release only at period close.</w:t>
      </w:r>
    </w:p>
    <w:p>
      <w:pPr>
        <w:pStyle w:val="ListBullet"/>
      </w:pPr>
      <w:r>
        <w:t>The action-semantic audit reduced twelve suspected gaps to five genuine counterpart/contract gaps; v0.12 closes those five without proportional pricing interpolation or controller-performance tuning.</w:t>
      </w:r>
    </w:p>
    <w:p>
      <w:pPr>
        <w:pStyle w:val="ListBullet"/>
      </w:pPr>
      <w:r>
        <w:t>S2 reservation is narrowed to the one explicitly priced 60-board/week contract; supplier payment is paid on receipt at frozen prices; cancellations are future-only and preserve sunk costs; customer renegotiation uses C reserve privately rather than exposing it to M.</w:t>
      </w:r>
    </w:p>
    <w:p>
      <w:r>
        <w:t>These corrections are classified as implementation/specification hygiene. None was chosen after inspecting a primary A/B/C winner, recovery rate, terminal frequency, or comparative outcome distribution, because no such run has occurred.</w:t>
      </w:r>
    </w:p>
    <w:p>
      <w:pPr>
        <w:pStyle w:val="Heading1"/>
      </w:pPr>
      <w:r>
        <w:t>7. Final Artifact Hashes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5"/>
              </w:rPr>
              <w:t>Artifact</w:t>
            </w:r>
          </w:p>
        </w:tc>
        <w:tc>
          <w:tcPr>
            <w:tcW w:type="dxa" w:w="5112"/>
            <w:vAlign w:val="center"/>
          </w:tcPr>
          <w:p>
            <w:r>
              <w:rPr>
                <w:b/>
                <w:sz w:val="15"/>
              </w:rPr>
              <w:t>SHA-256</w:t>
            </w:r>
          </w:p>
        </w:tc>
      </w:tr>
      <w:tr>
        <w:tc>
          <w:tcPr>
            <w:tcW w:type="dxa" w:w="5112"/>
            <w:vAlign w:val="center"/>
          </w:tcPr>
          <w:p>
            <w:r>
              <w:rPr>
                <w:sz w:val="15"/>
              </w:rPr>
              <w:t>config/compute_calibration.json</w:t>
            </w:r>
          </w:p>
        </w:tc>
        <w:tc>
          <w:tcPr>
            <w:tcW w:type="dxa" w:w="5112"/>
            <w:vAlign w:val="center"/>
          </w:tcPr>
          <w:p>
            <w:r>
              <w:rPr>
                <w:sz w:val="15"/>
              </w:rPr>
              <w:t>5380af8b1aac4f1bf1946da4c8c6947b3bd39056703a0d64a5b4edcb2a021806</w:t>
            </w:r>
          </w:p>
        </w:tc>
      </w:tr>
      <w:tr>
        <w:tc>
          <w:tcPr>
            <w:tcW w:type="dxa" w:w="5112"/>
            <w:vAlign w:val="center"/>
          </w:tcPr>
          <w:p>
            <w:r>
              <w:rPr>
                <w:sz w:val="15"/>
              </w:rPr>
              <w:t>config/conformance_results.json</w:t>
            </w:r>
          </w:p>
        </w:tc>
        <w:tc>
          <w:tcPr>
            <w:tcW w:type="dxa" w:w="5112"/>
            <w:vAlign w:val="center"/>
          </w:tcPr>
          <w:p>
            <w:r>
              <w:rPr>
                <w:sz w:val="15"/>
              </w:rPr>
              <w:t>a35df46aef39025cc33be6f5ddb05f478910abaf9fc87f74070a041ca5621511</w:t>
            </w:r>
          </w:p>
        </w:tc>
      </w:tr>
      <w:tr>
        <w:tc>
          <w:tcPr>
            <w:tcW w:type="dxa" w:w="5112"/>
            <w:vAlign w:val="center"/>
          </w:tcPr>
          <w:p>
            <w:r>
              <w:rPr>
                <w:sz w:val="15"/>
              </w:rPr>
              <w:t>config/prelock_validation.json</w:t>
            </w:r>
          </w:p>
        </w:tc>
        <w:tc>
          <w:tcPr>
            <w:tcW w:type="dxa" w:w="5112"/>
            <w:vAlign w:val="center"/>
          </w:tcPr>
          <w:p>
            <w:r>
              <w:rPr>
                <w:sz w:val="15"/>
              </w:rPr>
              <w:t>93c504bea72d20e68b56290f1a7ef44572ba18dfb1c92e862b132f3eba477ec3</w:t>
            </w:r>
          </w:p>
        </w:tc>
      </w:tr>
      <w:tr>
        <w:tc>
          <w:tcPr>
            <w:tcW w:type="dxa" w:w="5112"/>
            <w:vAlign w:val="center"/>
          </w:tcPr>
          <w:p>
            <w:r>
              <w:rPr>
                <w:sz w:val="15"/>
              </w:rPr>
              <w:t>tests/test_conformance.py</w:t>
            </w:r>
          </w:p>
        </w:tc>
        <w:tc>
          <w:tcPr>
            <w:tcW w:type="dxa" w:w="5112"/>
            <w:vAlign w:val="center"/>
          </w:tcPr>
          <w:p>
            <w:r>
              <w:rPr>
                <w:sz w:val="15"/>
              </w:rPr>
              <w:t>e52bc820658c03223c3b7e1398e5fdb453b6a720fd98a229dc10fefd6ee8e917</w:t>
            </w:r>
          </w:p>
        </w:tc>
      </w:tr>
      <w:tr>
        <w:tc>
          <w:tcPr>
            <w:tcW w:type="dxa" w:w="5112"/>
            <w:vAlign w:val="center"/>
          </w:tcPr>
          <w:p>
            <w:r>
              <w:rPr>
                <w:sz w:val="15"/>
              </w:rPr>
              <w:t>src/pvpp_benchmark/model.py</w:t>
            </w:r>
          </w:p>
        </w:tc>
        <w:tc>
          <w:tcPr>
            <w:tcW w:type="dxa" w:w="5112"/>
            <w:vAlign w:val="center"/>
          </w:tcPr>
          <w:p>
            <w:r>
              <w:rPr>
                <w:sz w:val="15"/>
              </w:rPr>
              <w:t>cf2048534aa9f8c0babf04b7160fc855a72b28b31986cfc7ca0d9ded151286d0</w:t>
            </w:r>
          </w:p>
        </w:tc>
      </w:tr>
      <w:tr>
        <w:tc>
          <w:tcPr>
            <w:tcW w:type="dxa" w:w="5112"/>
            <w:vAlign w:val="center"/>
          </w:tcPr>
          <w:p>
            <w:r>
              <w:rPr>
                <w:sz w:val="15"/>
              </w:rPr>
              <w:t>src/pvpp_benchmark/world.py</w:t>
            </w:r>
          </w:p>
        </w:tc>
        <w:tc>
          <w:tcPr>
            <w:tcW w:type="dxa" w:w="5112"/>
            <w:vAlign w:val="center"/>
          </w:tcPr>
          <w:p>
            <w:r>
              <w:rPr>
                <w:sz w:val="15"/>
              </w:rPr>
              <w:t>97abf8bce6f182be45c6f48f9d246533f411bbc82ad516f7f3a94a230eadf520</w:t>
            </w:r>
          </w:p>
        </w:tc>
      </w:tr>
      <w:tr>
        <w:tc>
          <w:tcPr>
            <w:tcW w:type="dxa" w:w="5112"/>
            <w:vAlign w:val="center"/>
          </w:tcPr>
          <w:p>
            <w:r>
              <w:rPr>
                <w:sz w:val="15"/>
              </w:rPr>
              <w:t>src/pvpp_benchmark/engine.py</w:t>
            </w:r>
          </w:p>
        </w:tc>
        <w:tc>
          <w:tcPr>
            <w:tcW w:type="dxa" w:w="5112"/>
            <w:vAlign w:val="center"/>
          </w:tcPr>
          <w:p>
            <w:r>
              <w:rPr>
                <w:sz w:val="15"/>
              </w:rPr>
              <w:t>d9b602e268adab5bf89a570f008698f319f322f42dd9bd2e468ab5742b95be09</w:t>
            </w:r>
          </w:p>
        </w:tc>
      </w:tr>
      <w:tr>
        <w:tc>
          <w:tcPr>
            <w:tcW w:type="dxa" w:w="5112"/>
            <w:vAlign w:val="center"/>
          </w:tcPr>
          <w:p>
            <w:r>
              <w:rPr>
                <w:sz w:val="15"/>
              </w:rPr>
              <w:t>src/pvpp_benchmark/planning.py</w:t>
            </w:r>
          </w:p>
        </w:tc>
        <w:tc>
          <w:tcPr>
            <w:tcW w:type="dxa" w:w="5112"/>
            <w:vAlign w:val="center"/>
          </w:tcPr>
          <w:p>
            <w:r>
              <w:rPr>
                <w:sz w:val="15"/>
              </w:rPr>
              <w:t>a54a433fbb0f93e9326ff67f944bdacc0f09a5aa201c5c2792a16587ad7efbea</w:t>
            </w:r>
          </w:p>
        </w:tc>
      </w:tr>
      <w:tr>
        <w:tc>
          <w:tcPr>
            <w:tcW w:type="dxa" w:w="5112"/>
            <w:vAlign w:val="center"/>
          </w:tcPr>
          <w:p>
            <w:r>
              <w:rPr>
                <w:sz w:val="15"/>
              </w:rPr>
              <w:t>src/pvpp_benchmark/oracle_expansion.py</w:t>
            </w:r>
          </w:p>
        </w:tc>
        <w:tc>
          <w:tcPr>
            <w:tcW w:type="dxa" w:w="5112"/>
            <w:vAlign w:val="center"/>
          </w:tcPr>
          <w:p>
            <w:r>
              <w:rPr>
                <w:sz w:val="15"/>
              </w:rPr>
              <w:t>c1029bfd0f5f56664c12663c51af016e09ea30b4ffecc13240630cc31b3c879e</w:t>
            </w:r>
          </w:p>
        </w:tc>
      </w:tr>
      <w:tr>
        <w:tc>
          <w:tcPr>
            <w:tcW w:type="dxa" w:w="5112"/>
            <w:vAlign w:val="center"/>
          </w:tcPr>
          <w:p>
            <w:r>
              <w:rPr>
                <w:sz w:val="15"/>
              </w:rPr>
              <w:t>src/pvpp_benchmark/scenario.py</w:t>
            </w:r>
          </w:p>
        </w:tc>
        <w:tc>
          <w:tcPr>
            <w:tcW w:type="dxa" w:w="5112"/>
            <w:vAlign w:val="center"/>
          </w:tcPr>
          <w:p>
            <w:r>
              <w:rPr>
                <w:sz w:val="15"/>
              </w:rPr>
              <w:t>a018a4a448b0735964e39faf0242b1306a1f03b5e9d17fa683c789833bf8c297</w:t>
            </w:r>
          </w:p>
        </w:tc>
      </w:tr>
    </w:tbl>
    <w:p>
      <w:pPr>
        <w:pStyle w:val="Heading1"/>
      </w:pPr>
      <w:r>
        <w:t>8. Authority-Patch Hashes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5"/>
              </w:rPr>
              <w:t>Authority artifact</w:t>
            </w:r>
          </w:p>
        </w:tc>
        <w:tc>
          <w:tcPr>
            <w:tcW w:type="dxa" w:w="5112"/>
            <w:vAlign w:val="center"/>
          </w:tcPr>
          <w:p>
            <w:r>
              <w:rPr>
                <w:b/>
                <w:sz w:val="15"/>
              </w:rPr>
              <w:t>SHA-256</w:t>
            </w:r>
          </w:p>
        </w:tc>
      </w:tr>
      <w:tr>
        <w:tc>
          <w:tcPr>
            <w:tcW w:type="dxa" w:w="5112"/>
            <w:vAlign w:val="center"/>
          </w:tcPr>
          <w:p>
            <w:r>
              <w:rPr>
                <w:sz w:val="15"/>
              </w:rPr>
              <w:t>PVPP_Freeze_Manifest_v1.docx</w:t>
            </w:r>
          </w:p>
        </w:tc>
        <w:tc>
          <w:tcPr>
            <w:tcW w:type="dxa" w:w="5112"/>
            <w:vAlign w:val="center"/>
          </w:tcPr>
          <w:p>
            <w:r>
              <w:rPr>
                <w:sz w:val="15"/>
              </w:rPr>
              <w:t>5be7d2c22c832401ac35a27bf91959d64b6c0ab4ac052ee8b696472a1f31708a</w:t>
            </w:r>
          </w:p>
        </w:tc>
      </w:tr>
      <w:tr>
        <w:tc>
          <w:tcPr>
            <w:tcW w:type="dxa" w:w="5112"/>
            <w:vAlign w:val="center"/>
          </w:tcPr>
          <w:p>
            <w:r>
              <w:rPr>
                <w:sz w:val="15"/>
              </w:rPr>
              <w:t>Resolution_Addendum_v08.docx</w:t>
            </w:r>
          </w:p>
        </w:tc>
        <w:tc>
          <w:tcPr>
            <w:tcW w:type="dxa" w:w="5112"/>
            <w:vAlign w:val="center"/>
          </w:tcPr>
          <w:p>
            <w:r>
              <w:rPr>
                <w:sz w:val="15"/>
              </w:rPr>
              <w:t>378eab387e4f731320f9db3507a1b55239796ee54e729bc3fbf9aeea5c8c3a3a</w:t>
            </w:r>
          </w:p>
        </w:tc>
      </w:tr>
      <w:tr>
        <w:tc>
          <w:tcPr>
            <w:tcW w:type="dxa" w:w="5112"/>
            <w:vAlign w:val="center"/>
          </w:tcPr>
          <w:p>
            <w:r>
              <w:rPr>
                <w:sz w:val="15"/>
              </w:rPr>
              <w:t>Calibration_Traces_v081.docx</w:t>
            </w:r>
          </w:p>
        </w:tc>
        <w:tc>
          <w:tcPr>
            <w:tcW w:type="dxa" w:w="5112"/>
            <w:vAlign w:val="center"/>
          </w:tcPr>
          <w:p>
            <w:r>
              <w:rPr>
                <w:sz w:val="15"/>
              </w:rPr>
              <w:t>edb9e1463949b068251fb67a5e9ebb63cc59e5a84fb0434d2b41652d76e4fb73</w:t>
            </w:r>
          </w:p>
        </w:tc>
      </w:tr>
      <w:tr>
        <w:tc>
          <w:tcPr>
            <w:tcW w:type="dxa" w:w="5112"/>
            <w:vAlign w:val="center"/>
          </w:tcPr>
          <w:p>
            <w:r>
              <w:rPr>
                <w:sz w:val="15"/>
              </w:rPr>
              <w:t>Closure_Audit_v09.docx</w:t>
            </w:r>
          </w:p>
        </w:tc>
        <w:tc>
          <w:tcPr>
            <w:tcW w:type="dxa" w:w="5112"/>
            <w:vAlign w:val="center"/>
          </w:tcPr>
          <w:p>
            <w:r>
              <w:rPr>
                <w:sz w:val="15"/>
              </w:rPr>
              <w:t>5acbd469203dbd9e4806c51da8003e291d53b776f9e1e0f78462df7528da301c</w:t>
            </w:r>
          </w:p>
        </w:tc>
      </w:tr>
      <w:tr>
        <w:tc>
          <w:tcPr>
            <w:tcW w:type="dxa" w:w="5112"/>
            <w:vAlign w:val="center"/>
          </w:tcPr>
          <w:p>
            <w:r>
              <w:rPr>
                <w:sz w:val="15"/>
              </w:rPr>
              <w:t>Action_Parameterization_v010.docx</w:t>
            </w:r>
          </w:p>
        </w:tc>
        <w:tc>
          <w:tcPr>
            <w:tcW w:type="dxa" w:w="5112"/>
            <w:vAlign w:val="center"/>
          </w:tcPr>
          <w:p>
            <w:r>
              <w:rPr>
                <w:sz w:val="15"/>
              </w:rPr>
              <w:t>4fc10a5ec7bceeab6fc41842f24c77a6ecdd9e30c5cedc93a5a29186ec2c9a3c</w:t>
            </w:r>
          </w:p>
        </w:tc>
      </w:tr>
      <w:tr>
        <w:tc>
          <w:tcPr>
            <w:tcW w:type="dxa" w:w="5112"/>
            <w:vAlign w:val="center"/>
          </w:tcPr>
          <w:p>
            <w:r>
              <w:rPr>
                <w:sz w:val="15"/>
              </w:rPr>
              <w:t>Action_Semantics_v011.docx</w:t>
            </w:r>
          </w:p>
        </w:tc>
        <w:tc>
          <w:tcPr>
            <w:tcW w:type="dxa" w:w="5112"/>
            <w:vAlign w:val="center"/>
          </w:tcPr>
          <w:p>
            <w:r>
              <w:rPr>
                <w:sz w:val="15"/>
              </w:rPr>
              <w:t>090ed6a488fbbb404a0e3040e0cd5f48228642e6e5b273887f980835da0b8eff</w:t>
            </w:r>
          </w:p>
        </w:tc>
      </w:tr>
      <w:tr>
        <w:tc>
          <w:tcPr>
            <w:tcW w:type="dxa" w:w="5112"/>
            <w:vAlign w:val="center"/>
          </w:tcPr>
          <w:p>
            <w:r>
              <w:rPr>
                <w:sz w:val="15"/>
              </w:rPr>
              <w:t>Counterpart_Contract_v012.docx</w:t>
            </w:r>
          </w:p>
        </w:tc>
        <w:tc>
          <w:tcPr>
            <w:tcW w:type="dxa" w:w="5112"/>
            <w:vAlign w:val="center"/>
          </w:tcPr>
          <w:p>
            <w:r>
              <w:rPr>
                <w:sz w:val="15"/>
              </w:rPr>
              <w:t>3e8e271500038e351020fc78c06649deabc2364022f7e56f3b13e0ee76b8930b</w:t>
            </w:r>
          </w:p>
        </w:tc>
      </w:tr>
    </w:tbl>
    <w:p>
      <w:pPr>
        <w:pStyle w:val="Heading1"/>
      </w:pPr>
      <w:r>
        <w:t>9. Authorization Boundary</w:t>
      </w:r>
    </w:p>
    <w:p>
      <w:r>
        <w:t>AUTHORIZED NEXT: execute the frozen deterministic primary challenge and the frozen stochastic A/B/C primary ensemble using N=1,000 and the locked common computation ceiling; write immutable ledgers; preserve negative, neutral, invalid, and superseded runs; and perform the pre-registered domain-native paired analysis.</w:t>
      </w:r>
    </w:p>
    <w:p>
      <w:r>
        <w:t>NOT AUTHORIZED: tune controller weights, PV-PP thresholds, local priorities, stochastic severity, counterpart rules, action grammar, outcome metrics, seed order, N, or computation budgets in response to primary comparative performance. Any defect that prevents faithful execution must stop the run, be documented, and be resolved by a versioned correction with an explicit contamination assessment before resuming.</w:t>
      </w:r>
    </w:p>
    <w:p>
      <w:r>
        <w:t>Diagnostic O1/O2 results remain evaluator-only and must never enter controller PRE packets. Oracle search budget failure remains UNDETERMINED, never inferred infeasibility.</w:t>
      </w:r>
    </w:p>
    <w:p>
      <w:pPr>
        <w:pStyle w:val="Heading1"/>
      </w:pPr>
      <w:r>
        <w:t>10. Lock Conclusion</w:t>
      </w:r>
    </w:p>
    <w:p>
      <w:r>
        <w:rPr>
          <w:b/>
        </w:rPr>
        <w:t xml:space="preserve">CALIBRATION LOCK: ISSUED. </w:t>
      </w:r>
      <w:r>
        <w:t>All non-result-dependent preconditions required by the freeze sequence are now satisfied at the implemented benchmark level. The next legitimate activity is primary comparative execution. The research result remains unknown at the time of this lock.</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Asterion Benchmark • Calibration Lock Record v1.0 • 31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