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Calibration and Manual Trace Execution Record - Version 0.8.1</w:t>
      </w:r>
    </w:p>
    <w:p>
      <w:pPr>
        <w:jc w:val="center"/>
      </w:pPr>
      <w:r>
        <w:t>Pre-Freeze Verification Record</w:t>
        <w:br/>
        <w:t>31 August 2026</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Field</w:t>
            </w:r>
          </w:p>
        </w:tc>
        <w:tc>
          <w:tcPr>
            <w:tcW w:type="dxa" w:w="5040"/>
            <w:vAlign w:val="top"/>
            <w:shd w:fill="D9E2F3"/>
          </w:tcPr>
          <w:p>
            <w:r/>
            <w:r>
              <w:rPr>
                <w:rFonts w:ascii="Aptos" w:hAnsi="Aptos"/>
                <w:b/>
                <w:sz w:val="15"/>
              </w:rPr>
              <w:t>Result</w:t>
            </w:r>
          </w:p>
        </w:tc>
      </w:tr>
      <w:tr>
        <w:tc>
          <w:tcPr>
            <w:tcW w:type="dxa" w:w="5040"/>
            <w:vAlign w:val="top"/>
          </w:tcPr>
          <w:p>
            <w:r/>
            <w:r>
              <w:rPr>
                <w:rFonts w:ascii="Aptos" w:hAnsi="Aptos"/>
                <w:b w:val="0"/>
                <w:sz w:val="14"/>
              </w:rPr>
              <w:t>Basis</w:t>
            </w:r>
          </w:p>
        </w:tc>
        <w:tc>
          <w:tcPr>
            <w:tcW w:type="dxa" w:w="5040"/>
            <w:vAlign w:val="top"/>
          </w:tcPr>
          <w:p>
            <w:r/>
            <w:r>
              <w:rPr>
                <w:rFonts w:ascii="Aptos" w:hAnsi="Aptos"/>
                <w:b w:val="0"/>
                <w:sz w:val="14"/>
              </w:rPr>
              <w:t>Benchmark specifications v0.1-v0.6, audit v0.7, and Pre-Freeze Resolution Addendum v0.8.</w:t>
            </w:r>
          </w:p>
        </w:tc>
      </w:tr>
      <w:tr>
        <w:tc>
          <w:tcPr>
            <w:tcW w:type="dxa" w:w="5040"/>
            <w:vAlign w:val="top"/>
          </w:tcPr>
          <w:p>
            <w:r/>
            <w:r>
              <w:rPr>
                <w:rFonts w:ascii="Aptos" w:hAnsi="Aptos"/>
                <w:b w:val="0"/>
                <w:sz w:val="14"/>
              </w:rPr>
              <w:t>Purpose</w:t>
            </w:r>
          </w:p>
        </w:tc>
        <w:tc>
          <w:tcPr>
            <w:tcW w:type="dxa" w:w="5040"/>
            <w:vAlign w:val="top"/>
          </w:tcPr>
          <w:p>
            <w:r/>
            <w:r>
              <w:rPr>
                <w:rFonts w:ascii="Aptos" w:hAnsi="Aptos"/>
                <w:b w:val="0"/>
                <w:sz w:val="14"/>
              </w:rPr>
              <w:t>Execute the non-comparative verification work required by v0.8 without running the A/B/C benchmark.</w:t>
            </w:r>
          </w:p>
        </w:tc>
      </w:tr>
      <w:tr>
        <w:tc>
          <w:tcPr>
            <w:tcW w:type="dxa" w:w="5040"/>
            <w:vAlign w:val="top"/>
          </w:tcPr>
          <w:p>
            <w:r/>
            <w:r>
              <w:rPr>
                <w:rFonts w:ascii="Aptos" w:hAnsi="Aptos"/>
                <w:b w:val="0"/>
                <w:sz w:val="14"/>
              </w:rPr>
              <w:t>Comparative controller execution</w:t>
            </w:r>
          </w:p>
        </w:tc>
        <w:tc>
          <w:tcPr>
            <w:tcW w:type="dxa" w:w="5040"/>
            <w:vAlign w:val="top"/>
          </w:tcPr>
          <w:p>
            <w:r/>
            <w:r>
              <w:rPr>
                <w:rFonts w:ascii="Aptos" w:hAnsi="Aptos"/>
                <w:b w:val="0"/>
                <w:sz w:val="14"/>
              </w:rPr>
              <w:t>NOT PERFORMED.</w:t>
            </w:r>
          </w:p>
        </w:tc>
      </w:tr>
      <w:tr>
        <w:tc>
          <w:tcPr>
            <w:tcW w:type="dxa" w:w="5040"/>
            <w:vAlign w:val="top"/>
          </w:tcPr>
          <w:p>
            <w:r/>
            <w:r>
              <w:rPr>
                <w:rFonts w:ascii="Aptos" w:hAnsi="Aptos"/>
                <w:b w:val="0"/>
                <w:sz w:val="14"/>
              </w:rPr>
              <w:t>Computation-budget calibration</w:t>
            </w:r>
          </w:p>
        </w:tc>
        <w:tc>
          <w:tcPr>
            <w:tcW w:type="dxa" w:w="5040"/>
            <w:vAlign w:val="top"/>
          </w:tcPr>
          <w:p>
            <w:r/>
            <w:r>
              <w:rPr>
                <w:rFonts w:ascii="Aptos" w:hAnsi="Aptos"/>
                <w:b w:val="0"/>
                <w:sz w:val="14"/>
              </w:rPr>
              <w:t>PROCEDURE READY; numeric ceiling cannot be empirically calibrated until controller implementations exist. The v0.8 initial common target remains 10,000 transition evaluations / 2.0 s / 256 paths.</w:t>
            </w:r>
          </w:p>
        </w:tc>
      </w:tr>
      <w:tr>
        <w:tc>
          <w:tcPr>
            <w:tcW w:type="dxa" w:w="5040"/>
            <w:vAlign w:val="top"/>
          </w:tcPr>
          <w:p>
            <w:r/>
            <w:r>
              <w:rPr>
                <w:rFonts w:ascii="Aptos" w:hAnsi="Aptos"/>
                <w:b w:val="0"/>
                <w:sz w:val="14"/>
              </w:rPr>
              <w:t>Master seed record</w:t>
            </w:r>
          </w:p>
        </w:tc>
        <w:tc>
          <w:tcPr>
            <w:tcW w:type="dxa" w:w="5040"/>
            <w:vAlign w:val="top"/>
          </w:tcPr>
          <w:p>
            <w:r/>
            <w:r>
              <w:rPr>
                <w:rFonts w:ascii="Aptos" w:hAnsi="Aptos"/>
                <w:b w:val="0"/>
                <w:sz w:val="14"/>
              </w:rPr>
              <w:t>CREATED as a deterministic pre-implementation seed schedule specification; actual machine-readable seed file should be emitted with the implementation repository.</w:t>
            </w:r>
          </w:p>
        </w:tc>
      </w:tr>
      <w:tr>
        <w:tc>
          <w:tcPr>
            <w:tcW w:type="dxa" w:w="5040"/>
            <w:vAlign w:val="top"/>
          </w:tcPr>
          <w:p>
            <w:r/>
            <w:r>
              <w:rPr>
                <w:rFonts w:ascii="Aptos" w:hAnsi="Aptos"/>
                <w:b w:val="0"/>
                <w:sz w:val="14"/>
              </w:rPr>
              <w:t>Ensemble-size gate</w:t>
            </w:r>
          </w:p>
        </w:tc>
        <w:tc>
          <w:tcPr>
            <w:tcW w:type="dxa" w:w="5040"/>
            <w:vAlign w:val="top"/>
          </w:tcPr>
          <w:p>
            <w:r/>
            <w:r>
              <w:rPr>
                <w:rFonts w:ascii="Aptos" w:hAnsi="Aptos"/>
                <w:b w:val="0"/>
                <w:sz w:val="14"/>
              </w:rPr>
              <w:t>PROCEDURE CHECKED analytically; final N remains implementation-calibration dependent because event generator code does not yet exist.</w:t>
            </w:r>
          </w:p>
        </w:tc>
      </w:tr>
      <w:tr>
        <w:tc>
          <w:tcPr>
            <w:tcW w:type="dxa" w:w="5040"/>
            <w:vAlign w:val="top"/>
          </w:tcPr>
          <w:p>
            <w:r/>
            <w:r>
              <w:rPr>
                <w:rFonts w:ascii="Aptos" w:hAnsi="Aptos"/>
                <w:b w:val="0"/>
                <w:sz w:val="14"/>
              </w:rPr>
              <w:t>Manual traces T1-T12</w:t>
            </w:r>
          </w:p>
        </w:tc>
        <w:tc>
          <w:tcPr>
            <w:tcW w:type="dxa" w:w="5040"/>
            <w:vAlign w:val="top"/>
          </w:tcPr>
          <w:p>
            <w:r/>
            <w:r>
              <w:rPr>
                <w:rFonts w:ascii="Aptos" w:hAnsi="Aptos"/>
                <w:b w:val="0"/>
                <w:sz w:val="14"/>
              </w:rPr>
              <w:t>PAPER EXECUTION COMPLETE: 12 PASS, 0 FAIL, with implementation assertions listed below.</w:t>
            </w:r>
          </w:p>
        </w:tc>
      </w:tr>
      <w:tr>
        <w:tc>
          <w:tcPr>
            <w:tcW w:type="dxa" w:w="5040"/>
            <w:vAlign w:val="top"/>
          </w:tcPr>
          <w:p>
            <w:r/>
            <w:r>
              <w:rPr>
                <w:rFonts w:ascii="Aptos" w:hAnsi="Aptos"/>
                <w:b w:val="0"/>
                <w:sz w:val="14"/>
              </w:rPr>
              <w:t>Disposition</w:t>
            </w:r>
          </w:p>
        </w:tc>
        <w:tc>
          <w:tcPr>
            <w:tcW w:type="dxa" w:w="5040"/>
            <w:vAlign w:val="top"/>
          </w:tcPr>
          <w:p>
            <w:r/>
            <w:r>
              <w:rPr>
                <w:rFonts w:ascii="Aptos" w:hAnsi="Aptos"/>
                <w:b w:val="0"/>
                <w:sz w:val="14"/>
              </w:rPr>
              <w:t>READY FOR v0.9 CLOSURE AUDIT, but not yet ready for the final manifest.</w:t>
            </w:r>
          </w:p>
        </w:tc>
      </w:tr>
    </w:tbl>
    <w:p>
      <w:pPr>
        <w:spacing w:after="20"/>
      </w:pPr>
    </w:p>
    <w:p>
      <w:pPr>
        <w:pStyle w:val="Heading1"/>
      </w:pPr>
      <w:r>
        <w:t>1. Scope Boundary</w:t>
      </w:r>
    </w:p>
    <w:p>
      <w:r>
        <w:t>This record deliberately does not implement or execute the comparative benchmark. It verifies the paper architecture and freezes the exact calibration work that implementation must perform before primary results. Where an empirical result would require controller/world code, this document marks the item as an implementation calibration gate rather than fabricating a measurement.</w:t>
      </w:r>
    </w:p>
    <w:p>
      <w:pPr>
        <w:pStyle w:val="Heading1"/>
      </w:pPr>
      <w:r>
        <w:t>2. Controller-Blind Computation Calibration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Item</w:t>
            </w:r>
          </w:p>
        </w:tc>
        <w:tc>
          <w:tcPr>
            <w:tcW w:type="dxa" w:w="5040"/>
            <w:vAlign w:val="top"/>
            <w:shd w:fill="D9E2F3"/>
          </w:tcPr>
          <w:p>
            <w:r/>
            <w:r>
              <w:rPr>
                <w:rFonts w:ascii="Aptos" w:hAnsi="Aptos"/>
                <w:b/>
                <w:sz w:val="15"/>
              </w:rPr>
              <w:t>Pre-implementation resolution</w:t>
            </w:r>
          </w:p>
        </w:tc>
      </w:tr>
      <w:tr>
        <w:tc>
          <w:tcPr>
            <w:tcW w:type="dxa" w:w="5040"/>
            <w:vAlign w:val="top"/>
          </w:tcPr>
          <w:p>
            <w:r/>
            <w:r>
              <w:rPr>
                <w:rFonts w:ascii="Aptos" w:hAnsi="Aptos"/>
                <w:b w:val="0"/>
                <w:sz w:val="14"/>
              </w:rPr>
              <w:t>Reference ceiling target</w:t>
            </w:r>
          </w:p>
        </w:tc>
        <w:tc>
          <w:tcPr>
            <w:tcW w:type="dxa" w:w="5040"/>
            <w:vAlign w:val="top"/>
          </w:tcPr>
          <w:p>
            <w:r/>
            <w:r>
              <w:rPr>
                <w:rFonts w:ascii="Aptos" w:hAnsi="Aptos"/>
                <w:b w:val="0"/>
                <w:sz w:val="14"/>
              </w:rPr>
              <w:t>A and B begin at 10,000 transition evaluations, 2.0 seconds wall-clock, 256 stochastic projection paths per agent decision; C receives the same wall-clock ceiling.</w:t>
            </w:r>
          </w:p>
        </w:tc>
      </w:tr>
      <w:tr>
        <w:tc>
          <w:tcPr>
            <w:tcW w:type="dxa" w:w="5040"/>
            <w:vAlign w:val="top"/>
          </w:tcPr>
          <w:p>
            <w:r/>
            <w:r>
              <w:rPr>
                <w:rFonts w:ascii="Aptos" w:hAnsi="Aptos"/>
                <w:b w:val="0"/>
                <w:sz w:val="14"/>
              </w:rPr>
              <w:t>Calibration states</w:t>
            </w:r>
          </w:p>
        </w:tc>
        <w:tc>
          <w:tcPr>
            <w:tcW w:type="dxa" w:w="5040"/>
            <w:vAlign w:val="top"/>
          </w:tcPr>
          <w:p>
            <w:r/>
            <w:r>
              <w:rPr>
                <w:rFonts w:ascii="Aptos" w:hAnsi="Aptos"/>
                <w:b w:val="0"/>
                <w:sz w:val="14"/>
              </w:rPr>
              <w:t>Healthy/calm, hand-solvable supply deterioration, simple qualification choice, simple financing choice, and synthetic neutral branching states only.</w:t>
            </w:r>
          </w:p>
        </w:tc>
      </w:tr>
      <w:tr>
        <w:tc>
          <w:tcPr>
            <w:tcW w:type="dxa" w:w="5040"/>
            <w:vAlign w:val="top"/>
          </w:tcPr>
          <w:p>
            <w:r/>
            <w:r>
              <w:rPr>
                <w:rFonts w:ascii="Aptos" w:hAnsi="Aptos"/>
                <w:b w:val="0"/>
                <w:sz w:val="14"/>
              </w:rPr>
              <w:t>Primary challenge trace</w:t>
            </w:r>
          </w:p>
        </w:tc>
        <w:tc>
          <w:tcPr>
            <w:tcW w:type="dxa" w:w="5040"/>
            <w:vAlign w:val="top"/>
          </w:tcPr>
          <w:p>
            <w:r/>
            <w:r>
              <w:rPr>
                <w:rFonts w:ascii="Aptos" w:hAnsi="Aptos"/>
                <w:b w:val="0"/>
                <w:sz w:val="14"/>
              </w:rPr>
              <w:t>PROHIBITED during budget calibration.</w:t>
            </w:r>
          </w:p>
        </w:tc>
      </w:tr>
      <w:tr>
        <w:tc>
          <w:tcPr>
            <w:tcW w:type="dxa" w:w="5040"/>
            <w:vAlign w:val="top"/>
          </w:tcPr>
          <w:p>
            <w:r/>
            <w:r>
              <w:rPr>
                <w:rFonts w:ascii="Aptos" w:hAnsi="Aptos"/>
                <w:b w:val="0"/>
                <w:sz w:val="14"/>
              </w:rPr>
              <w:t>Outcome comparison</w:t>
            </w:r>
          </w:p>
        </w:tc>
        <w:tc>
          <w:tcPr>
            <w:tcW w:type="dxa" w:w="5040"/>
            <w:vAlign w:val="top"/>
          </w:tcPr>
          <w:p>
            <w:r/>
            <w:r>
              <w:rPr>
                <w:rFonts w:ascii="Aptos" w:hAnsi="Aptos"/>
                <w:b w:val="0"/>
                <w:sz w:val="14"/>
              </w:rPr>
              <w:t>PROHIBITED. Calibration logs completion, evaluation use, timeout, and conformance only.</w:t>
            </w:r>
          </w:p>
        </w:tc>
      </w:tr>
      <w:tr>
        <w:tc>
          <w:tcPr>
            <w:tcW w:type="dxa" w:w="5040"/>
            <w:vAlign w:val="top"/>
          </w:tcPr>
          <w:p>
            <w:r/>
            <w:r>
              <w:rPr>
                <w:rFonts w:ascii="Aptos" w:hAnsi="Aptos"/>
                <w:b w:val="0"/>
                <w:sz w:val="14"/>
              </w:rPr>
              <w:t>Passing rule</w:t>
            </w:r>
          </w:p>
        </w:tc>
        <w:tc>
          <w:tcPr>
            <w:tcW w:type="dxa" w:w="5040"/>
            <w:vAlign w:val="top"/>
          </w:tcPr>
          <w:p>
            <w:r/>
            <w:r>
              <w:rPr>
                <w:rFonts w:ascii="Aptos" w:hAnsi="Aptos"/>
                <w:b w:val="0"/>
                <w:sz w:val="14"/>
              </w:rPr>
              <w:t>Both A and B complete &gt;=95% of ordinary calibration decisions within both common ceilings.</w:t>
            </w:r>
          </w:p>
        </w:tc>
      </w:tr>
      <w:tr>
        <w:tc>
          <w:tcPr>
            <w:tcW w:type="dxa" w:w="5040"/>
            <w:vAlign w:val="top"/>
          </w:tcPr>
          <w:p>
            <w:r/>
            <w:r>
              <w:rPr>
                <w:rFonts w:ascii="Aptos" w:hAnsi="Aptos"/>
                <w:b w:val="0"/>
                <w:sz w:val="14"/>
              </w:rPr>
              <w:t>Adjustment</w:t>
            </w:r>
          </w:p>
        </w:tc>
        <w:tc>
          <w:tcPr>
            <w:tcW w:type="dxa" w:w="5040"/>
            <w:vAlign w:val="top"/>
          </w:tcPr>
          <w:p>
            <w:r/>
            <w:r>
              <w:rPr>
                <w:rFonts w:ascii="Aptos" w:hAnsi="Aptos"/>
                <w:b w:val="0"/>
                <w:sz w:val="14"/>
              </w:rPr>
              <w:t>If either fails, multiply both A and B ceilings by 2, then 4 if necessary. First common passing ceiling is frozen.</w:t>
            </w:r>
          </w:p>
        </w:tc>
      </w:tr>
      <w:tr>
        <w:tc>
          <w:tcPr>
            <w:tcW w:type="dxa" w:w="5040"/>
            <w:vAlign w:val="top"/>
          </w:tcPr>
          <w:p>
            <w:r/>
            <w:r>
              <w:rPr>
                <w:rFonts w:ascii="Aptos" w:hAnsi="Aptos"/>
                <w:b w:val="0"/>
                <w:sz w:val="14"/>
              </w:rPr>
              <w:t>Asymmetry</w:t>
            </w:r>
          </w:p>
        </w:tc>
        <w:tc>
          <w:tcPr>
            <w:tcW w:type="dxa" w:w="5040"/>
            <w:vAlign w:val="top"/>
          </w:tcPr>
          <w:p>
            <w:r/>
            <w:r>
              <w:rPr>
                <w:rFonts w:ascii="Aptos" w:hAnsi="Aptos"/>
                <w:b w:val="0"/>
                <w:sz w:val="14"/>
              </w:rPr>
              <w:t>No regime-specific increase; no reduction merely because one controller is faster.</w:t>
            </w:r>
          </w:p>
        </w:tc>
      </w:tr>
      <w:tr>
        <w:tc>
          <w:tcPr>
            <w:tcW w:type="dxa" w:w="5040"/>
            <w:vAlign w:val="top"/>
          </w:tcPr>
          <w:p>
            <w:r/>
            <w:r>
              <w:rPr>
                <w:rFonts w:ascii="Aptos" w:hAnsi="Aptos"/>
                <w:b w:val="0"/>
                <w:sz w:val="14"/>
              </w:rPr>
              <w:t>Current status</w:t>
            </w:r>
          </w:p>
        </w:tc>
        <w:tc>
          <w:tcPr>
            <w:tcW w:type="dxa" w:w="5040"/>
            <w:vAlign w:val="top"/>
          </w:tcPr>
          <w:p>
            <w:r/>
            <w:r>
              <w:rPr>
                <w:rFonts w:ascii="Aptos" w:hAnsi="Aptos"/>
                <w:b w:val="0"/>
                <w:sz w:val="14"/>
              </w:rPr>
              <w:t>Cannot produce a valid measured ceiling before A/B implementations exist. This is a legitimate pre-implementation gate, not a paper gap.</w:t>
            </w:r>
          </w:p>
        </w:tc>
      </w:tr>
    </w:tbl>
    <w:p>
      <w:pPr>
        <w:spacing w:after="20"/>
      </w:pPr>
    </w:p>
    <w:p>
      <w:pPr>
        <w:pStyle w:val="Heading1"/>
      </w:pPr>
      <w:r>
        <w:t>3. Master Seed Schedule</w:t>
      </w:r>
    </w:p>
    <w:p>
      <w:r>
        <w:t>To prevent post-result seed selection, the implementation must generate and archive the master seed list before any A/B/C primary run. The following deterministic recipe is frozen.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Field</w:t>
            </w:r>
          </w:p>
        </w:tc>
        <w:tc>
          <w:tcPr>
            <w:tcW w:type="dxa" w:w="5040"/>
            <w:vAlign w:val="top"/>
            <w:shd w:fill="D9E2F3"/>
          </w:tcPr>
          <w:p>
            <w:r/>
            <w:r>
              <w:rPr>
                <w:rFonts w:ascii="Aptos" w:hAnsi="Aptos"/>
                <w:b/>
                <w:sz w:val="15"/>
              </w:rPr>
              <w:t>Frozen recipe</w:t>
            </w:r>
          </w:p>
        </w:tc>
      </w:tr>
      <w:tr>
        <w:tc>
          <w:tcPr>
            <w:tcW w:type="dxa" w:w="5040"/>
            <w:vAlign w:val="top"/>
          </w:tcPr>
          <w:p>
            <w:r/>
            <w:r>
              <w:rPr>
                <w:rFonts w:ascii="Aptos" w:hAnsi="Aptos"/>
                <w:b w:val="0"/>
                <w:sz w:val="14"/>
              </w:rPr>
              <w:t>Generator</w:t>
            </w:r>
          </w:p>
        </w:tc>
        <w:tc>
          <w:tcPr>
            <w:tcW w:type="dxa" w:w="5040"/>
            <w:vAlign w:val="top"/>
          </w:tcPr>
          <w:p>
            <w:r/>
            <w:r>
              <w:rPr>
                <w:rFonts w:ascii="Aptos" w:hAnsi="Aptos"/>
                <w:b w:val="0"/>
                <w:sz w:val="14"/>
              </w:rPr>
              <w:t>SHA-256 counter derivation, not language-runtime random state.</w:t>
            </w:r>
          </w:p>
        </w:tc>
      </w:tr>
      <w:tr>
        <w:tc>
          <w:tcPr>
            <w:tcW w:type="dxa" w:w="5040"/>
            <w:vAlign w:val="top"/>
          </w:tcPr>
          <w:p>
            <w:r/>
            <w:r>
              <w:rPr>
                <w:rFonts w:ascii="Aptos" w:hAnsi="Aptos"/>
                <w:b w:val="0"/>
                <w:sz w:val="14"/>
              </w:rPr>
              <w:t>Namespace</w:t>
            </w:r>
          </w:p>
        </w:tc>
        <w:tc>
          <w:tcPr>
            <w:tcW w:type="dxa" w:w="5040"/>
            <w:vAlign w:val="top"/>
          </w:tcPr>
          <w:p>
            <w:r/>
            <w:r>
              <w:rPr>
                <w:rFonts w:ascii="Aptos" w:hAnsi="Aptos"/>
                <w:b w:val="0"/>
                <w:sz w:val="14"/>
              </w:rPr>
              <w:t>PVPP-ASTERION-PRIMARY-SEEDS-v1</w:t>
            </w:r>
          </w:p>
        </w:tc>
      </w:tr>
      <w:tr>
        <w:tc>
          <w:tcPr>
            <w:tcW w:type="dxa" w:w="5040"/>
            <w:vAlign w:val="top"/>
          </w:tcPr>
          <w:p>
            <w:r/>
            <w:r>
              <w:rPr>
                <w:rFonts w:ascii="Aptos" w:hAnsi="Aptos"/>
                <w:b w:val="0"/>
                <w:sz w:val="14"/>
              </w:rPr>
              <w:t>Seed k</w:t>
            </w:r>
          </w:p>
        </w:tc>
        <w:tc>
          <w:tcPr>
            <w:tcW w:type="dxa" w:w="5040"/>
            <w:vAlign w:val="top"/>
          </w:tcPr>
          <w:p>
            <w:r/>
            <w:r>
              <w:rPr>
                <w:rFonts w:ascii="Aptos" w:hAnsi="Aptos"/>
                <w:b w:val="0"/>
                <w:sz w:val="14"/>
              </w:rPr>
              <w:t>First 64 bits of SHA256(namespace + ':' + decimal k), interpreted unsigned, for k=0..999.</w:t>
            </w:r>
          </w:p>
        </w:tc>
      </w:tr>
      <w:tr>
        <w:tc>
          <w:tcPr>
            <w:tcW w:type="dxa" w:w="5040"/>
            <w:vAlign w:val="top"/>
          </w:tcPr>
          <w:p>
            <w:r/>
            <w:r>
              <w:rPr>
                <w:rFonts w:ascii="Aptos" w:hAnsi="Aptos"/>
                <w:b w:val="0"/>
                <w:sz w:val="14"/>
              </w:rPr>
              <w:t>Ordering</w:t>
            </w:r>
          </w:p>
        </w:tc>
        <w:tc>
          <w:tcPr>
            <w:tcW w:type="dxa" w:w="5040"/>
            <w:vAlign w:val="top"/>
          </w:tcPr>
          <w:p>
            <w:r/>
            <w:r>
              <w:rPr>
                <w:rFonts w:ascii="Aptos" w:hAnsi="Aptos"/>
                <w:b w:val="0"/>
                <w:sz w:val="14"/>
              </w:rPr>
              <w:t>Counter order 0 through 999; no sorting.</w:t>
            </w:r>
          </w:p>
        </w:tc>
      </w:tr>
      <w:tr>
        <w:tc>
          <w:tcPr>
            <w:tcW w:type="dxa" w:w="5040"/>
            <w:vAlign w:val="top"/>
          </w:tcPr>
          <w:p>
            <w:r/>
            <w:r>
              <w:rPr>
                <w:rFonts w:ascii="Aptos" w:hAnsi="Aptos"/>
                <w:b w:val="0"/>
                <w:sz w:val="14"/>
              </w:rPr>
              <w:t>Primary ensemble</w:t>
            </w:r>
          </w:p>
        </w:tc>
        <w:tc>
          <w:tcPr>
            <w:tcW w:type="dxa" w:w="5040"/>
            <w:vAlign w:val="top"/>
          </w:tcPr>
          <w:p>
            <w:r/>
            <w:r>
              <w:rPr>
                <w:rFonts w:ascii="Aptos" w:hAnsi="Aptos"/>
                <w:b w:val="0"/>
                <w:sz w:val="14"/>
              </w:rPr>
              <w:t>First N seeds after controller-blind ensemble-size calibration.</w:t>
            </w:r>
          </w:p>
        </w:tc>
      </w:tr>
      <w:tr>
        <w:tc>
          <w:tcPr>
            <w:tcW w:type="dxa" w:w="5040"/>
            <w:vAlign w:val="top"/>
          </w:tcPr>
          <w:p>
            <w:r/>
            <w:r>
              <w:rPr>
                <w:rFonts w:ascii="Aptos" w:hAnsi="Aptos"/>
                <w:b w:val="0"/>
                <w:sz w:val="14"/>
              </w:rPr>
              <w:t>Deletion</w:t>
            </w:r>
          </w:p>
        </w:tc>
        <w:tc>
          <w:tcPr>
            <w:tcW w:type="dxa" w:w="5040"/>
            <w:vAlign w:val="top"/>
          </w:tcPr>
          <w:p>
            <w:r/>
            <w:r>
              <w:rPr>
                <w:rFonts w:ascii="Aptos" w:hAnsi="Aptos"/>
                <w:b w:val="0"/>
                <w:sz w:val="14"/>
              </w:rPr>
              <w:t>No seed may be removed after comparative results except proven invalid fixture; invalidity and reruns remain in correction ledger.</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k</w:t>
            </w:r>
          </w:p>
        </w:tc>
        <w:tc>
          <w:tcPr>
            <w:tcW w:type="dxa" w:w="5040"/>
            <w:vAlign w:val="top"/>
            <w:shd w:fill="D9E2F3"/>
          </w:tcPr>
          <w:p>
            <w:r/>
            <w:r>
              <w:rPr>
                <w:rFonts w:ascii="Aptos" w:hAnsi="Aptos"/>
                <w:b/>
                <w:sz w:val="15"/>
              </w:rPr>
              <w:t>First ten seed values</w:t>
            </w:r>
          </w:p>
        </w:tc>
      </w:tr>
      <w:tr>
        <w:tc>
          <w:tcPr>
            <w:tcW w:type="dxa" w:w="5040"/>
            <w:vAlign w:val="top"/>
          </w:tcPr>
          <w:p>
            <w:r/>
            <w:r>
              <w:rPr>
                <w:rFonts w:ascii="Aptos" w:hAnsi="Aptos"/>
                <w:b w:val="0"/>
                <w:sz w:val="14"/>
              </w:rPr>
              <w:t>0</w:t>
            </w:r>
          </w:p>
        </w:tc>
        <w:tc>
          <w:tcPr>
            <w:tcW w:type="dxa" w:w="5040"/>
            <w:vAlign w:val="top"/>
          </w:tcPr>
          <w:p>
            <w:r/>
            <w:r>
              <w:rPr>
                <w:rFonts w:ascii="Aptos" w:hAnsi="Aptos"/>
                <w:b w:val="0"/>
                <w:sz w:val="14"/>
              </w:rPr>
              <w:t>7950518952219427039</w:t>
            </w:r>
          </w:p>
        </w:tc>
      </w:tr>
      <w:tr>
        <w:tc>
          <w:tcPr>
            <w:tcW w:type="dxa" w:w="5040"/>
            <w:vAlign w:val="top"/>
          </w:tcPr>
          <w:p>
            <w:r/>
            <w:r>
              <w:rPr>
                <w:rFonts w:ascii="Aptos" w:hAnsi="Aptos"/>
                <w:b w:val="0"/>
                <w:sz w:val="14"/>
              </w:rPr>
              <w:t>1</w:t>
            </w:r>
          </w:p>
        </w:tc>
        <w:tc>
          <w:tcPr>
            <w:tcW w:type="dxa" w:w="5040"/>
            <w:vAlign w:val="top"/>
          </w:tcPr>
          <w:p>
            <w:r/>
            <w:r>
              <w:rPr>
                <w:rFonts w:ascii="Aptos" w:hAnsi="Aptos"/>
                <w:b w:val="0"/>
                <w:sz w:val="14"/>
              </w:rPr>
              <w:t>2009566808223528454</w:t>
            </w:r>
          </w:p>
        </w:tc>
      </w:tr>
      <w:tr>
        <w:tc>
          <w:tcPr>
            <w:tcW w:type="dxa" w:w="5040"/>
            <w:vAlign w:val="top"/>
          </w:tcPr>
          <w:p>
            <w:r/>
            <w:r>
              <w:rPr>
                <w:rFonts w:ascii="Aptos" w:hAnsi="Aptos"/>
                <w:b w:val="0"/>
                <w:sz w:val="14"/>
              </w:rPr>
              <w:t>2</w:t>
            </w:r>
          </w:p>
        </w:tc>
        <w:tc>
          <w:tcPr>
            <w:tcW w:type="dxa" w:w="5040"/>
            <w:vAlign w:val="top"/>
          </w:tcPr>
          <w:p>
            <w:r/>
            <w:r>
              <w:rPr>
                <w:rFonts w:ascii="Aptos" w:hAnsi="Aptos"/>
                <w:b w:val="0"/>
                <w:sz w:val="14"/>
              </w:rPr>
              <w:t>8414236455168906885</w:t>
            </w:r>
          </w:p>
        </w:tc>
      </w:tr>
      <w:tr>
        <w:tc>
          <w:tcPr>
            <w:tcW w:type="dxa" w:w="5040"/>
            <w:vAlign w:val="top"/>
          </w:tcPr>
          <w:p>
            <w:r/>
            <w:r>
              <w:rPr>
                <w:rFonts w:ascii="Aptos" w:hAnsi="Aptos"/>
                <w:b w:val="0"/>
                <w:sz w:val="14"/>
              </w:rPr>
              <w:t>3</w:t>
            </w:r>
          </w:p>
        </w:tc>
        <w:tc>
          <w:tcPr>
            <w:tcW w:type="dxa" w:w="5040"/>
            <w:vAlign w:val="top"/>
          </w:tcPr>
          <w:p>
            <w:r/>
            <w:r>
              <w:rPr>
                <w:rFonts w:ascii="Aptos" w:hAnsi="Aptos"/>
                <w:b w:val="0"/>
                <w:sz w:val="14"/>
              </w:rPr>
              <w:t>16041093982683877166</w:t>
            </w:r>
          </w:p>
        </w:tc>
      </w:tr>
      <w:tr>
        <w:tc>
          <w:tcPr>
            <w:tcW w:type="dxa" w:w="5040"/>
            <w:vAlign w:val="top"/>
          </w:tcPr>
          <w:p>
            <w:r/>
            <w:r>
              <w:rPr>
                <w:rFonts w:ascii="Aptos" w:hAnsi="Aptos"/>
                <w:b w:val="0"/>
                <w:sz w:val="14"/>
              </w:rPr>
              <w:t>4</w:t>
            </w:r>
          </w:p>
        </w:tc>
        <w:tc>
          <w:tcPr>
            <w:tcW w:type="dxa" w:w="5040"/>
            <w:vAlign w:val="top"/>
          </w:tcPr>
          <w:p>
            <w:r/>
            <w:r>
              <w:rPr>
                <w:rFonts w:ascii="Aptos" w:hAnsi="Aptos"/>
                <w:b w:val="0"/>
                <w:sz w:val="14"/>
              </w:rPr>
              <w:t>8333215831196884498</w:t>
            </w:r>
          </w:p>
        </w:tc>
      </w:tr>
      <w:tr>
        <w:tc>
          <w:tcPr>
            <w:tcW w:type="dxa" w:w="5040"/>
            <w:vAlign w:val="top"/>
          </w:tcPr>
          <w:p>
            <w:r/>
            <w:r>
              <w:rPr>
                <w:rFonts w:ascii="Aptos" w:hAnsi="Aptos"/>
                <w:b w:val="0"/>
                <w:sz w:val="14"/>
              </w:rPr>
              <w:t>5</w:t>
            </w:r>
          </w:p>
        </w:tc>
        <w:tc>
          <w:tcPr>
            <w:tcW w:type="dxa" w:w="5040"/>
            <w:vAlign w:val="top"/>
          </w:tcPr>
          <w:p>
            <w:r/>
            <w:r>
              <w:rPr>
                <w:rFonts w:ascii="Aptos" w:hAnsi="Aptos"/>
                <w:b w:val="0"/>
                <w:sz w:val="14"/>
              </w:rPr>
              <w:t>13237536752729660337</w:t>
            </w:r>
          </w:p>
        </w:tc>
      </w:tr>
      <w:tr>
        <w:tc>
          <w:tcPr>
            <w:tcW w:type="dxa" w:w="5040"/>
            <w:vAlign w:val="top"/>
          </w:tcPr>
          <w:p>
            <w:r/>
            <w:r>
              <w:rPr>
                <w:rFonts w:ascii="Aptos" w:hAnsi="Aptos"/>
                <w:b w:val="0"/>
                <w:sz w:val="14"/>
              </w:rPr>
              <w:t>6</w:t>
            </w:r>
          </w:p>
        </w:tc>
        <w:tc>
          <w:tcPr>
            <w:tcW w:type="dxa" w:w="5040"/>
            <w:vAlign w:val="top"/>
          </w:tcPr>
          <w:p>
            <w:r/>
            <w:r>
              <w:rPr>
                <w:rFonts w:ascii="Aptos" w:hAnsi="Aptos"/>
                <w:b w:val="0"/>
                <w:sz w:val="14"/>
              </w:rPr>
              <w:t>11316072231742416721</w:t>
            </w:r>
          </w:p>
        </w:tc>
      </w:tr>
      <w:tr>
        <w:tc>
          <w:tcPr>
            <w:tcW w:type="dxa" w:w="5040"/>
            <w:vAlign w:val="top"/>
          </w:tcPr>
          <w:p>
            <w:r/>
            <w:r>
              <w:rPr>
                <w:rFonts w:ascii="Aptos" w:hAnsi="Aptos"/>
                <w:b w:val="0"/>
                <w:sz w:val="14"/>
              </w:rPr>
              <w:t>7</w:t>
            </w:r>
          </w:p>
        </w:tc>
        <w:tc>
          <w:tcPr>
            <w:tcW w:type="dxa" w:w="5040"/>
            <w:vAlign w:val="top"/>
          </w:tcPr>
          <w:p>
            <w:r/>
            <w:r>
              <w:rPr>
                <w:rFonts w:ascii="Aptos" w:hAnsi="Aptos"/>
                <w:b w:val="0"/>
                <w:sz w:val="14"/>
              </w:rPr>
              <w:t>5674658644812564254</w:t>
            </w:r>
          </w:p>
        </w:tc>
      </w:tr>
      <w:tr>
        <w:tc>
          <w:tcPr>
            <w:tcW w:type="dxa" w:w="5040"/>
            <w:vAlign w:val="top"/>
          </w:tcPr>
          <w:p>
            <w:r/>
            <w:r>
              <w:rPr>
                <w:rFonts w:ascii="Aptos" w:hAnsi="Aptos"/>
                <w:b w:val="0"/>
                <w:sz w:val="14"/>
              </w:rPr>
              <w:t>8</w:t>
            </w:r>
          </w:p>
        </w:tc>
        <w:tc>
          <w:tcPr>
            <w:tcW w:type="dxa" w:w="5040"/>
            <w:vAlign w:val="top"/>
          </w:tcPr>
          <w:p>
            <w:r/>
            <w:r>
              <w:rPr>
                <w:rFonts w:ascii="Aptos" w:hAnsi="Aptos"/>
                <w:b w:val="0"/>
                <w:sz w:val="14"/>
              </w:rPr>
              <w:t>11282168746726802150</w:t>
            </w:r>
          </w:p>
        </w:tc>
      </w:tr>
      <w:tr>
        <w:tc>
          <w:tcPr>
            <w:tcW w:type="dxa" w:w="5040"/>
            <w:vAlign w:val="top"/>
          </w:tcPr>
          <w:p>
            <w:r/>
            <w:r>
              <w:rPr>
                <w:rFonts w:ascii="Aptos" w:hAnsi="Aptos"/>
                <w:b w:val="0"/>
                <w:sz w:val="14"/>
              </w:rPr>
              <w:t>9</w:t>
            </w:r>
          </w:p>
        </w:tc>
        <w:tc>
          <w:tcPr>
            <w:tcW w:type="dxa" w:w="5040"/>
            <w:vAlign w:val="top"/>
          </w:tcPr>
          <w:p>
            <w:r/>
            <w:r>
              <w:rPr>
                <w:rFonts w:ascii="Aptos" w:hAnsi="Aptos"/>
                <w:b w:val="0"/>
                <w:sz w:val="14"/>
              </w:rPr>
              <w:t>5744712200310368737</w:t>
            </w:r>
          </w:p>
        </w:tc>
      </w:tr>
    </w:tbl>
    <w:p>
      <w:pPr>
        <w:spacing w:after="20"/>
      </w:pPr>
    </w:p>
    <w:p>
      <w:pPr>
        <w:pStyle w:val="Heading1"/>
      </w:pPr>
      <w:r>
        <w:t>4. Ensemble-Size Calibration</w:t>
      </w:r>
    </w:p>
    <w:p>
      <w:r>
        <w:t>v0.8 already freezes the selection rule N in {100,250,500,1000}. The rule is internally coherent: it compares controller-free exogenous event frequencies against the 1,000-seed reference and selects the smallest N meeting the absolute-probability and rare-event-count conditions.</w:t>
      </w:r>
    </w:p>
    <w:p>
      <w:pPr>
        <w:pStyle w:val="ListBullet"/>
        <w:spacing w:after="20"/>
      </w:pPr>
      <w:r>
        <w:t>The rule does not inspect A/B/C outcomes.</w:t>
      </w:r>
    </w:p>
    <w:p>
      <w:pPr>
        <w:pStyle w:val="ListBullet"/>
        <w:spacing w:after="20"/>
      </w:pPr>
      <w:r>
        <w:t>The same first-N prefix rule prevents cherry-picking.</w:t>
      </w:r>
    </w:p>
    <w:p>
      <w:pPr>
        <w:pStyle w:val="ListBullet"/>
        <w:spacing w:after="20"/>
      </w:pPr>
      <w:r>
        <w:t>The monitored families cover deterioration timing/severity, logistics failures, defect frequencies, and strategic-message modes.</w:t>
      </w:r>
    </w:p>
    <w:p>
      <w:pPr>
        <w:pStyle w:val="ListBullet"/>
        <w:spacing w:after="20"/>
      </w:pPr>
      <w:r>
        <w:t>The exact N cannot honestly be declared until the implemented event generator has produced the 1,000 controller-free calibration traces.</w:t>
      </w:r>
    </w:p>
    <w:p>
      <w:pPr>
        <w:pStyle w:val="ListBullet"/>
        <w:spacing w:after="20"/>
      </w:pPr>
      <w:r>
        <w:t>Implementation assertion: the ensemble calibration program must have no import or invocation path to controller code.</w:t>
      </w:r>
    </w:p>
    <w:p>
      <w:pPr>
        <w:pStyle w:val="Heading1"/>
      </w:pPr>
      <w:r>
        <w:t>5. T1 - Healthy / Calm World</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Step</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Initial productive position</w:t>
            </w:r>
          </w:p>
        </w:tc>
        <w:tc>
          <w:tcPr>
            <w:tcW w:type="dxa" w:w="5040"/>
            <w:vAlign w:val="top"/>
          </w:tcPr>
          <w:p>
            <w:r/>
            <w:r>
              <w:rPr>
                <w:rFonts w:ascii="Aptos" w:hAnsi="Aptos"/>
                <w:b w:val="0"/>
                <w:sz w:val="14"/>
              </w:rPr>
              <w:t>M has 160 S1 boards, 150 mechanical kits, 20 finished units, 100 assembly/test ceilings, $420k cash, and a standing 80-unit weekly customer commitment.</w:t>
            </w:r>
          </w:p>
        </w:tc>
      </w:tr>
      <w:tr>
        <w:tc>
          <w:tcPr>
            <w:tcW w:type="dxa" w:w="5040"/>
            <w:vAlign w:val="top"/>
          </w:tcPr>
          <w:p>
            <w:r/>
            <w:r>
              <w:rPr>
                <w:rFonts w:ascii="Aptos" w:hAnsi="Aptos"/>
                <w:b w:val="0"/>
                <w:sz w:val="14"/>
              </w:rPr>
              <w:t>Routine supply</w:t>
            </w:r>
          </w:p>
        </w:tc>
        <w:tc>
          <w:tcPr>
            <w:tcW w:type="dxa" w:w="5040"/>
            <w:vAlign w:val="top"/>
          </w:tcPr>
          <w:p>
            <w:r/>
            <w:r>
              <w:rPr>
                <w:rFonts w:ascii="Aptos" w:hAnsi="Aptos"/>
                <w:b w:val="0"/>
                <w:sz w:val="14"/>
              </w:rPr>
              <w:t>S1 contracted delivery 90/week exceeds M's 80-unit customer requirement; mechanical replenishment 95/week is also nonbinding under ordinary operation.</w:t>
            </w:r>
          </w:p>
        </w:tc>
      </w:tr>
      <w:tr>
        <w:tc>
          <w:tcPr>
            <w:tcW w:type="dxa" w:w="5040"/>
            <w:vAlign w:val="top"/>
          </w:tcPr>
          <w:p>
            <w:r/>
            <w:r>
              <w:rPr>
                <w:rFonts w:ascii="Aptos" w:hAnsi="Aptos"/>
                <w:b w:val="0"/>
                <w:sz w:val="14"/>
              </w:rPr>
              <w:t>Capacity</w:t>
            </w:r>
          </w:p>
        </w:tc>
        <w:tc>
          <w:tcPr>
            <w:tcW w:type="dxa" w:w="5040"/>
            <w:vAlign w:val="top"/>
          </w:tcPr>
          <w:p>
            <w:r/>
            <w:r>
              <w:rPr>
                <w:rFonts w:ascii="Aptos" w:hAnsi="Aptos"/>
                <w:b w:val="0"/>
                <w:sz w:val="14"/>
              </w:rPr>
              <w:t>M's 100-unit assembly/test ceilings permit an 80-unit production/delivery policy without overload (&gt;90%) degradation.</w:t>
            </w:r>
          </w:p>
        </w:tc>
      </w:tr>
      <w:tr>
        <w:tc>
          <w:tcPr>
            <w:tcW w:type="dxa" w:w="5040"/>
            <w:vAlign w:val="top"/>
          </w:tcPr>
          <w:p>
            <w:r/>
            <w:r>
              <w:rPr>
                <w:rFonts w:ascii="Aptos" w:hAnsi="Aptos"/>
                <w:b w:val="0"/>
                <w:sz w:val="14"/>
              </w:rPr>
              <w:t>Information</w:t>
            </w:r>
          </w:p>
        </w:tc>
        <w:tc>
          <w:tcPr>
            <w:tcW w:type="dxa" w:w="5040"/>
            <w:vAlign w:val="top"/>
          </w:tcPr>
          <w:p>
            <w:r/>
            <w:r>
              <w:rPr>
                <w:rFonts w:ascii="Aptos" w:hAnsi="Aptos"/>
                <w:b w:val="0"/>
                <w:sz w:val="14"/>
              </w:rPr>
              <w:t>No stress signal requires qualification, rework, emergency financing, or containment.</w:t>
            </w:r>
          </w:p>
        </w:tc>
      </w:tr>
      <w:tr>
        <w:tc>
          <w:tcPr>
            <w:tcW w:type="dxa" w:w="5040"/>
            <w:vAlign w:val="top"/>
          </w:tcPr>
          <w:p>
            <w:r/>
            <w:r>
              <w:rPr>
                <w:rFonts w:ascii="Aptos" w:hAnsi="Aptos"/>
                <w:b w:val="0"/>
                <w:sz w:val="14"/>
              </w:rPr>
              <w:t>Controller feasibility</w:t>
            </w:r>
          </w:p>
        </w:tc>
        <w:tc>
          <w:tcPr>
            <w:tcW w:type="dxa" w:w="5040"/>
            <w:vAlign w:val="top"/>
          </w:tcPr>
          <w:p>
            <w:r/>
            <w:r>
              <w:rPr>
                <w:rFonts w:ascii="Aptos" w:hAnsi="Aptos"/>
                <w:b w:val="0"/>
                <w:sz w:val="14"/>
              </w:rPr>
              <w:t>Common action grammar contains routine production/shipment/payment actions for all regimes.</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Stable routine operation exists and no benchmark rule forces gratuitous adaptation.</w:t>
            </w:r>
          </w:p>
        </w:tc>
      </w:tr>
    </w:tbl>
    <w:p>
      <w:pPr>
        <w:spacing w:after="20"/>
      </w:pPr>
    </w:p>
    <w:p>
      <w:r>
        <w:t>Implementation assertion: a calm deterministic fixture must remain stable for at least six periods under a lawful routine policy.</w:t>
      </w:r>
    </w:p>
    <w:p>
      <w:pPr>
        <w:pStyle w:val="Heading1"/>
      </w:pPr>
      <w:r>
        <w:t>6. T2 - Honest S1 Deterioration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Step</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Hidden event</w:t>
            </w:r>
          </w:p>
        </w:tc>
        <w:tc>
          <w:tcPr>
            <w:tcW w:type="dxa" w:w="5040"/>
            <w:vAlign w:val="top"/>
          </w:tcPr>
          <w:p>
            <w:r/>
            <w:r>
              <w:rPr>
                <w:rFonts w:ascii="Aptos" w:hAnsi="Aptos"/>
                <w:b w:val="0"/>
                <w:sz w:val="14"/>
              </w:rPr>
              <w:t>S1 line/quality deteriorate under the frozen world event.</w:t>
            </w:r>
          </w:p>
        </w:tc>
      </w:tr>
      <w:tr>
        <w:tc>
          <w:tcPr>
            <w:tcW w:type="dxa" w:w="5040"/>
            <w:vAlign w:val="top"/>
          </w:tcPr>
          <w:p>
            <w:r/>
            <w:r>
              <w:rPr>
                <w:rFonts w:ascii="Aptos" w:hAnsi="Aptos"/>
                <w:b w:val="0"/>
                <w:sz w:val="14"/>
              </w:rPr>
              <w:t>Honest message</w:t>
            </w:r>
          </w:p>
        </w:tc>
        <w:tc>
          <w:tcPr>
            <w:tcW w:type="dxa" w:w="5040"/>
            <w:vAlign w:val="top"/>
          </w:tcPr>
          <w:p>
            <w:r/>
            <w:r>
              <w:rPr>
                <w:rFonts w:ascii="Aptos" w:hAnsi="Aptos"/>
                <w:b w:val="0"/>
                <w:sz w:val="14"/>
              </w:rPr>
              <w:t>S1 exact-disclosure mode creates a legitimate evidence event to M; no actual PP is exposed beyond what S1 reports/what M independently observes.</w:t>
            </w:r>
          </w:p>
        </w:tc>
      </w:tr>
      <w:tr>
        <w:tc>
          <w:tcPr>
            <w:tcW w:type="dxa" w:w="5040"/>
            <w:vAlign w:val="top"/>
          </w:tcPr>
          <w:p>
            <w:r/>
            <w:r>
              <w:rPr>
                <w:rFonts w:ascii="Aptos" w:hAnsi="Aptos"/>
                <w:b w:val="0"/>
                <w:sz w:val="14"/>
              </w:rPr>
              <w:t>Common evidence</w:t>
            </w:r>
          </w:p>
        </w:tc>
        <w:tc>
          <w:tcPr>
            <w:tcW w:type="dxa" w:w="5040"/>
            <w:vAlign w:val="top"/>
          </w:tcPr>
          <w:p>
            <w:r/>
            <w:r>
              <w:rPr>
                <w:rFonts w:ascii="Aptos" w:hAnsi="Aptos"/>
                <w:b w:val="0"/>
                <w:sz w:val="14"/>
              </w:rPr>
              <w:t>Matched regimes occupying M receive the same message event, timing, provenance, and uncertainty metadata.</w:t>
            </w:r>
          </w:p>
        </w:tc>
      </w:tr>
      <w:tr>
        <w:tc>
          <w:tcPr>
            <w:tcW w:type="dxa" w:w="5040"/>
            <w:vAlign w:val="top"/>
          </w:tcPr>
          <w:p>
            <w:r/>
            <w:r>
              <w:rPr>
                <w:rFonts w:ascii="Aptos" w:hAnsi="Aptos"/>
                <w:b w:val="0"/>
                <w:sz w:val="14"/>
              </w:rPr>
              <w:t>Available responses</w:t>
            </w:r>
          </w:p>
        </w:tc>
        <w:tc>
          <w:tcPr>
            <w:tcW w:type="dxa" w:w="5040"/>
            <w:vAlign w:val="top"/>
          </w:tcPr>
          <w:p>
            <w:r/>
            <w:r>
              <w:rPr>
                <w:rFonts w:ascii="Aptos" w:hAnsi="Aptos"/>
                <w:b w:val="0"/>
                <w:sz w:val="14"/>
              </w:rPr>
              <w:t>Inspection, incumbent recovery/assistance, conservation, S2 qualification/reservation, logistics/finance/customer proposals remain in the common action grammar when individually feasible.</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Honest deterioration does not privilege PV-PP and does not remove comparator access to legitimate actions.</w:t>
            </w:r>
          </w:p>
        </w:tc>
      </w:tr>
    </w:tbl>
    <w:p>
      <w:pPr>
        <w:spacing w:after="20"/>
      </w:pPr>
    </w:p>
    <w:p>
      <w:pPr>
        <w:pStyle w:val="Heading1"/>
      </w:pPr>
      <w:r>
        <w:t>7. T3 - Misleading S1 Reassurance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Step</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Message</w:t>
            </w:r>
          </w:p>
        </w:tc>
        <w:tc>
          <w:tcPr>
            <w:tcW w:type="dxa" w:w="5040"/>
            <w:vAlign w:val="top"/>
          </w:tcPr>
          <w:p>
            <w:r/>
            <w:r>
              <w:rPr>
                <w:rFonts w:ascii="Aptos" w:hAnsi="Aptos"/>
                <w:b w:val="0"/>
                <w:sz w:val="14"/>
              </w:rPr>
              <w:t>S1 may issue 'temporary issue' or bounded optimistic ETA under v0.8 probabilities.</w:t>
            </w:r>
          </w:p>
        </w:tc>
      </w:tr>
      <w:tr>
        <w:tc>
          <w:tcPr>
            <w:tcW w:type="dxa" w:w="5040"/>
            <w:vAlign w:val="top"/>
          </w:tcPr>
          <w:p>
            <w:r/>
            <w:r>
              <w:rPr>
                <w:rFonts w:ascii="Aptos" w:hAnsi="Aptos"/>
                <w:b w:val="0"/>
                <w:sz w:val="14"/>
              </w:rPr>
              <w:t>Truth boundary</w:t>
            </w:r>
          </w:p>
        </w:tc>
        <w:tc>
          <w:tcPr>
            <w:tcW w:type="dxa" w:w="5040"/>
            <w:vAlign w:val="top"/>
          </w:tcPr>
          <w:p>
            <w:r/>
            <w:r>
              <w:rPr>
                <w:rFonts w:ascii="Aptos" w:hAnsi="Aptos"/>
                <w:b w:val="0"/>
                <w:sz w:val="14"/>
              </w:rPr>
              <w:t>The message does not rewrite actual S1 line/quality state and cannot claim nonexistent shipped units.</w:t>
            </w:r>
          </w:p>
        </w:tc>
      </w:tr>
      <w:tr>
        <w:tc>
          <w:tcPr>
            <w:tcW w:type="dxa" w:w="5040"/>
            <w:vAlign w:val="top"/>
          </w:tcPr>
          <w:p>
            <w:r/>
            <w:r>
              <w:rPr>
                <w:rFonts w:ascii="Aptos" w:hAnsi="Aptos"/>
                <w:b w:val="0"/>
                <w:sz w:val="14"/>
              </w:rPr>
              <w:t>Known S2 path</w:t>
            </w:r>
          </w:p>
        </w:tc>
        <w:tc>
          <w:tcPr>
            <w:tcW w:type="dxa" w:w="5040"/>
            <w:vAlign w:val="top"/>
          </w:tcPr>
          <w:p>
            <w:r/>
            <w:r>
              <w:rPr>
                <w:rFonts w:ascii="Aptos" w:hAnsi="Aptos"/>
                <w:b w:val="0"/>
                <w:sz w:val="14"/>
              </w:rPr>
              <w:t>M already has legitimate S2 prototype/qualification history, so the path can be latent or materially omitted even when S1 reassurance suppresses salience.</w:t>
            </w:r>
          </w:p>
        </w:tc>
      </w:tr>
      <w:tr>
        <w:tc>
          <w:tcPr>
            <w:tcW w:type="dxa" w:w="5040"/>
            <w:vAlign w:val="top"/>
          </w:tcPr>
          <w:p>
            <w:r/>
            <w:r>
              <w:rPr>
                <w:rFonts w:ascii="Aptos" w:hAnsi="Aptos"/>
                <w:b w:val="0"/>
                <w:sz w:val="14"/>
              </w:rPr>
              <w:t>Unknown paths</w:t>
            </w:r>
          </w:p>
        </w:tc>
        <w:tc>
          <w:tcPr>
            <w:tcW w:type="dxa" w:w="5040"/>
            <w:vAlign w:val="top"/>
          </w:tcPr>
          <w:p>
            <w:r/>
            <w:r>
              <w:rPr>
                <w:rFonts w:ascii="Aptos" w:hAnsi="Aptos"/>
                <w:b w:val="0"/>
                <w:sz w:val="14"/>
              </w:rPr>
              <w:t>No oracle-only rescue action can be inserted by Pi-completeness.</w:t>
            </w:r>
          </w:p>
        </w:tc>
      </w:tr>
      <w:tr>
        <w:tc>
          <w:tcPr>
            <w:tcW w:type="dxa" w:w="5040"/>
            <w:vAlign w:val="top"/>
          </w:tcPr>
          <w:p>
            <w:r/>
            <w:r>
              <w:rPr>
                <w:rFonts w:ascii="Aptos" w:hAnsi="Aptos"/>
                <w:b w:val="0"/>
                <w:sz w:val="14"/>
              </w:rPr>
              <w:t>Comparator parity</w:t>
            </w:r>
          </w:p>
        </w:tc>
        <w:tc>
          <w:tcPr>
            <w:tcW w:type="dxa" w:w="5040"/>
            <w:vAlign w:val="top"/>
          </w:tcPr>
          <w:p>
            <w:r/>
            <w:r>
              <w:rPr>
                <w:rFonts w:ascii="Aptos" w:hAnsi="Aptos"/>
                <w:b w:val="0"/>
                <w:sz w:val="14"/>
              </w:rPr>
              <w:t>B can discount/reweight S1 through its source-reliability estimator; C retains recent reliability summary.</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The trace tests contaminated perception without omniscience.</w:t>
            </w:r>
          </w:p>
        </w:tc>
      </w:tr>
    </w:tbl>
    <w:p>
      <w:pPr>
        <w:spacing w:after="20"/>
      </w:pPr>
    </w:p>
    <w:p>
      <w:pPr>
        <w:pStyle w:val="Heading1"/>
      </w:pPr>
      <w:r>
        <w:t>8. T4 - Stale Favorable Memory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Step</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Stored history</w:t>
            </w:r>
          </w:p>
        </w:tc>
        <w:tc>
          <w:tcPr>
            <w:tcW w:type="dxa" w:w="5040"/>
            <w:vAlign w:val="top"/>
          </w:tcPr>
          <w:p>
            <w:r/>
            <w:r>
              <w:rPr>
                <w:rFonts w:ascii="Aptos" w:hAnsi="Aptos"/>
                <w:b w:val="0"/>
                <w:sz w:val="14"/>
              </w:rPr>
              <w:t>H1/H2 create favorable S1 relational evidence; it remains stored.</w:t>
            </w:r>
          </w:p>
        </w:tc>
      </w:tr>
      <w:tr>
        <w:tc>
          <w:tcPr>
            <w:tcW w:type="dxa" w:w="5040"/>
            <w:vAlign w:val="top"/>
          </w:tcPr>
          <w:p>
            <w:r/>
            <w:r>
              <w:rPr>
                <w:rFonts w:ascii="Aptos" w:hAnsi="Aptos"/>
                <w:b w:val="0"/>
                <w:sz w:val="14"/>
              </w:rPr>
              <w:t>Current contradiction</w:t>
            </w:r>
          </w:p>
        </w:tc>
        <w:tc>
          <w:tcPr>
            <w:tcW w:type="dxa" w:w="5040"/>
            <w:vAlign w:val="top"/>
          </w:tcPr>
          <w:p>
            <w:r/>
            <w:r>
              <w:rPr>
                <w:rFonts w:ascii="Aptos" w:hAnsi="Aptos"/>
                <w:b w:val="0"/>
                <w:sz w:val="14"/>
              </w:rPr>
              <w:t>Fresh inspection/delivery evidence can contradict the favorable history.</w:t>
            </w:r>
          </w:p>
        </w:tc>
      </w:tr>
      <w:tr>
        <w:tc>
          <w:tcPr>
            <w:tcW w:type="dxa" w:w="5040"/>
            <w:vAlign w:val="top"/>
          </w:tcPr>
          <w:p>
            <w:r/>
            <w:r>
              <w:rPr>
                <w:rFonts w:ascii="Aptos" w:hAnsi="Aptos"/>
                <w:b w:val="0"/>
                <w:sz w:val="14"/>
              </w:rPr>
              <w:t>Memory rule</w:t>
            </w:r>
          </w:p>
        </w:tc>
        <w:tc>
          <w:tcPr>
            <w:tcW w:type="dxa" w:w="5040"/>
            <w:vAlign w:val="top"/>
          </w:tcPr>
          <w:p>
            <w:r/>
            <w:r>
              <w:rPr>
                <w:rFonts w:ascii="Aptos" w:hAnsi="Aptos"/>
                <w:b w:val="0"/>
                <w:sz w:val="14"/>
              </w:rPr>
              <w:t>Correction/current evidence does not erase H1/H2; retrieval can still surface them with freshness/scope metadata.</w:t>
            </w:r>
          </w:p>
        </w:tc>
      </w:tr>
      <w:tr>
        <w:tc>
          <w:tcPr>
            <w:tcW w:type="dxa" w:w="5040"/>
            <w:vAlign w:val="top"/>
          </w:tcPr>
          <w:p>
            <w:r/>
            <w:r>
              <w:rPr>
                <w:rFonts w:ascii="Aptos" w:hAnsi="Aptos"/>
                <w:b w:val="0"/>
                <w:sz w:val="14"/>
              </w:rPr>
              <w:t>Potential harm</w:t>
            </w:r>
          </w:p>
        </w:tc>
        <w:tc>
          <w:tcPr>
            <w:tcW w:type="dxa" w:w="5040"/>
            <w:vAlign w:val="top"/>
          </w:tcPr>
          <w:p>
            <w:r/>
            <w:r>
              <w:rPr>
                <w:rFonts w:ascii="Aptos" w:hAnsi="Aptos"/>
                <w:b w:val="0"/>
                <w:sz w:val="14"/>
              </w:rPr>
              <w:t>PV-PP may over-weight stale favorable evidence and choose poorly; the architecture does not guarantee memory is beneficial.</w:t>
            </w:r>
          </w:p>
        </w:tc>
      </w:tr>
      <w:tr>
        <w:tc>
          <w:tcPr>
            <w:tcW w:type="dxa" w:w="5040"/>
            <w:vAlign w:val="top"/>
          </w:tcPr>
          <w:p>
            <w:r/>
            <w:r>
              <w:rPr>
                <w:rFonts w:ascii="Aptos" w:hAnsi="Aptos"/>
                <w:b w:val="0"/>
                <w:sz w:val="14"/>
              </w:rPr>
              <w:t>Comparator treatment</w:t>
            </w:r>
          </w:p>
        </w:tc>
        <w:tc>
          <w:tcPr>
            <w:tcW w:type="dxa" w:w="5040"/>
            <w:vAlign w:val="top"/>
          </w:tcPr>
          <w:p>
            <w:r/>
            <w:r>
              <w:rPr>
                <w:rFonts w:ascii="Aptos" w:hAnsi="Aptos"/>
                <w:b w:val="0"/>
                <w:sz w:val="14"/>
              </w:rPr>
              <w:t>B updates current belief and source reliability; C's four-period summary naturally reduces very old history.</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Typed memory is not structurally guaranteed to help PV-PP.</w:t>
            </w:r>
          </w:p>
        </w:tc>
      </w:tr>
    </w:tbl>
    <w:p>
      <w:pPr>
        <w:spacing w:after="20"/>
      </w:pPr>
    </w:p>
    <w:p>
      <w:pPr>
        <w:pStyle w:val="Heading1"/>
      </w:pPr>
      <w:r>
        <w:t>9. T5 - S2 Qualification Path</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Item</w:t>
            </w:r>
          </w:p>
        </w:tc>
        <w:tc>
          <w:tcPr>
            <w:tcW w:type="dxa" w:w="5040"/>
            <w:vAlign w:val="top"/>
            <w:shd w:fill="D9E2F3"/>
          </w:tcPr>
          <w:p>
            <w:r/>
            <w:r>
              <w:rPr>
                <w:rFonts w:ascii="Aptos" w:hAnsi="Aptos"/>
                <w:b/>
                <w:sz w:val="15"/>
              </w:rPr>
              <w:t>Paper balance</w:t>
            </w:r>
          </w:p>
        </w:tc>
      </w:tr>
      <w:tr>
        <w:tc>
          <w:tcPr>
            <w:tcW w:type="dxa" w:w="5040"/>
            <w:vAlign w:val="top"/>
          </w:tcPr>
          <w:p>
            <w:r/>
            <w:r>
              <w:rPr>
                <w:rFonts w:ascii="Aptos" w:hAnsi="Aptos"/>
                <w:b w:val="0"/>
                <w:sz w:val="14"/>
              </w:rPr>
              <w:t>Launch</w:t>
            </w:r>
          </w:p>
        </w:tc>
        <w:tc>
          <w:tcPr>
            <w:tcW w:type="dxa" w:w="5040"/>
            <w:vAlign w:val="top"/>
          </w:tcPr>
          <w:p>
            <w:r/>
            <w:r>
              <w:rPr>
                <w:rFonts w:ascii="Aptos" w:hAnsi="Aptos"/>
                <w:b w:val="0"/>
                <w:sz w:val="14"/>
              </w:rPr>
              <w:t>Known S2 path begins unqualified; launch requires agreement, $35k M cost, and subsequent active-week costs.</w:t>
            </w:r>
          </w:p>
        </w:tc>
      </w:tr>
      <w:tr>
        <w:tc>
          <w:tcPr>
            <w:tcW w:type="dxa" w:w="5040"/>
            <w:vAlign w:val="top"/>
          </w:tcPr>
          <w:p>
            <w:r/>
            <w:r>
              <w:rPr>
                <w:rFonts w:ascii="Aptos" w:hAnsi="Aptos"/>
                <w:b w:val="0"/>
                <w:sz w:val="14"/>
              </w:rPr>
              <w:t>Stage resources</w:t>
            </w:r>
          </w:p>
        </w:tc>
        <w:tc>
          <w:tcPr>
            <w:tcW w:type="dxa" w:w="5040"/>
            <w:vAlign w:val="top"/>
          </w:tcPr>
          <w:p>
            <w:r/>
            <w:r>
              <w:rPr>
                <w:rFonts w:ascii="Aptos" w:hAnsi="Aptos"/>
                <w:b w:val="0"/>
                <w:sz w:val="14"/>
              </w:rPr>
              <w:t>Each active stage encumbers 20 M engineering and 20 S2 engineering; emergency additionally encumbers M test capacity.</w:t>
            </w:r>
          </w:p>
        </w:tc>
      </w:tr>
      <w:tr>
        <w:tc>
          <w:tcPr>
            <w:tcW w:type="dxa" w:w="5040"/>
            <w:vAlign w:val="top"/>
          </w:tcPr>
          <w:p>
            <w:r/>
            <w:r>
              <w:rPr>
                <w:rFonts w:ascii="Aptos" w:hAnsi="Aptos"/>
                <w:b w:val="0"/>
                <w:sz w:val="14"/>
              </w:rPr>
              <w:t>Evidence</w:t>
            </w:r>
          </w:p>
        </w:tc>
        <w:tc>
          <w:tcPr>
            <w:tcW w:type="dxa" w:w="5040"/>
            <w:vAlign w:val="top"/>
          </w:tcPr>
          <w:p>
            <w:r/>
            <w:r>
              <w:rPr>
                <w:rFonts w:ascii="Aptos" w:hAnsi="Aptos"/>
                <w:b w:val="0"/>
                <w:sz w:val="14"/>
              </w:rPr>
              <w:t>Each stage samples 20 boards; critical failure or &gt;=2 detected noncritical defects fails the stage.</w:t>
            </w:r>
          </w:p>
        </w:tc>
      </w:tr>
      <w:tr>
        <w:tc>
          <w:tcPr>
            <w:tcW w:type="dxa" w:w="5040"/>
            <w:vAlign w:val="top"/>
          </w:tcPr>
          <w:p>
            <w:r/>
            <w:r>
              <w:rPr>
                <w:rFonts w:ascii="Aptos" w:hAnsi="Aptos"/>
                <w:b w:val="0"/>
                <w:sz w:val="14"/>
              </w:rPr>
              <w:t>Normal path</w:t>
            </w:r>
          </w:p>
        </w:tc>
        <w:tc>
          <w:tcPr>
            <w:tcW w:type="dxa" w:w="5040"/>
            <w:vAlign w:val="top"/>
          </w:tcPr>
          <w:p>
            <w:r/>
            <w:r>
              <w:rPr>
                <w:rFonts w:ascii="Aptos" w:hAnsi="Aptos"/>
                <w:b w:val="0"/>
                <w:sz w:val="14"/>
              </w:rPr>
              <w:t>Four completed stages plus S2 quality PP &gt;=70 and no unresolved critical failure.</w:t>
            </w:r>
          </w:p>
        </w:tc>
      </w:tr>
      <w:tr>
        <w:tc>
          <w:tcPr>
            <w:tcW w:type="dxa" w:w="5040"/>
            <w:vAlign w:val="top"/>
          </w:tcPr>
          <w:p>
            <w:r/>
            <w:r>
              <w:rPr>
                <w:rFonts w:ascii="Aptos" w:hAnsi="Aptos"/>
                <w:b w:val="0"/>
                <w:sz w:val="14"/>
              </w:rPr>
              <w:t>Emergency path</w:t>
            </w:r>
          </w:p>
        </w:tc>
        <w:tc>
          <w:tcPr>
            <w:tcW w:type="dxa" w:w="5040"/>
            <w:vAlign w:val="top"/>
          </w:tcPr>
          <w:p>
            <w:r/>
            <w:r>
              <w:rPr>
                <w:rFonts w:ascii="Aptos" w:hAnsi="Aptos"/>
                <w:b w:val="0"/>
                <w:sz w:val="14"/>
              </w:rPr>
              <w:t>Two stages only after R evidence trigger/notice; initial cap 40/week.</w:t>
            </w:r>
          </w:p>
        </w:tc>
      </w:tr>
      <w:tr>
        <w:tc>
          <w:tcPr>
            <w:tcW w:type="dxa" w:w="5040"/>
            <w:vAlign w:val="top"/>
          </w:tcPr>
          <w:p>
            <w:r/>
            <w:r>
              <w:rPr>
                <w:rFonts w:ascii="Aptos" w:hAnsi="Aptos"/>
                <w:b w:val="0"/>
                <w:sz w:val="14"/>
              </w:rPr>
              <w:t>Cap release</w:t>
            </w:r>
          </w:p>
        </w:tc>
        <w:tc>
          <w:tcPr>
            <w:tcW w:type="dxa" w:w="5040"/>
            <w:vAlign w:val="top"/>
          </w:tcPr>
          <w:p>
            <w:r/>
            <w:r>
              <w:rPr>
                <w:rFonts w:ascii="Aptos" w:hAnsi="Aptos"/>
                <w:b w:val="0"/>
                <w:sz w:val="14"/>
              </w:rPr>
              <w:t>One clean delivered period with &gt;=20 S2 boards inspected/used and no confirmed critical failure.</w:t>
            </w:r>
          </w:p>
        </w:tc>
      </w:tr>
      <w:tr>
        <w:tc>
          <w:tcPr>
            <w:tcW w:type="dxa" w:w="5040"/>
            <w:vAlign w:val="top"/>
          </w:tcPr>
          <w:p>
            <w:r/>
            <w:r>
              <w:rPr>
                <w:rFonts w:ascii="Aptos" w:hAnsi="Aptos"/>
                <w:b w:val="0"/>
                <w:sz w:val="14"/>
              </w:rPr>
              <w:t>Physical rule</w:t>
            </w:r>
          </w:p>
        </w:tc>
        <w:tc>
          <w:tcPr>
            <w:tcW w:type="dxa" w:w="5040"/>
            <w:vAlign w:val="top"/>
          </w:tcPr>
          <w:p>
            <w:r/>
            <w:r>
              <w:rPr>
                <w:rFonts w:ascii="Aptos" w:hAnsi="Aptos"/>
                <w:b w:val="0"/>
                <w:sz w:val="14"/>
              </w:rPr>
              <w:t>Approval does not create S2 physical line capacity; production remains bounded by actual/accessible capacity.</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Qualification timing, evidence, encumbrance, and capacity are internally separable and balance.</w:t>
            </w:r>
          </w:p>
        </w:tc>
      </w:tr>
    </w:tbl>
    <w:p>
      <w:pPr>
        <w:spacing w:after="20"/>
      </w:pPr>
    </w:p>
    <w:p>
      <w:pPr>
        <w:pStyle w:val="Heading1"/>
      </w:pPr>
      <w:r>
        <w:t>10. T6 - Shortcut Rework</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Step</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Eligibility</w:t>
            </w:r>
          </w:p>
        </w:tc>
        <w:tc>
          <w:tcPr>
            <w:tcW w:type="dxa" w:w="5040"/>
            <w:vAlign w:val="top"/>
          </w:tcPr>
          <w:p>
            <w:r/>
            <w:r>
              <w:rPr>
                <w:rFonts w:ascii="Aptos" w:hAnsi="Aptos"/>
                <w:b w:val="0"/>
                <w:sz w:val="14"/>
              </w:rPr>
              <w:t>Suspect physically reworkable boards and M test PP/access &gt;= required threshold.</w:t>
            </w:r>
          </w:p>
        </w:tc>
      </w:tr>
      <w:tr>
        <w:tc>
          <w:tcPr>
            <w:tcW w:type="dxa" w:w="5040"/>
            <w:vAlign w:val="top"/>
          </w:tcPr>
          <w:p>
            <w:r/>
            <w:r>
              <w:rPr>
                <w:rFonts w:ascii="Aptos" w:hAnsi="Aptos"/>
                <w:b w:val="0"/>
                <w:sz w:val="14"/>
              </w:rPr>
              <w:t>20-board shortcut batch</w:t>
            </w:r>
          </w:p>
        </w:tc>
        <w:tc>
          <w:tcPr>
            <w:tcW w:type="dxa" w:w="5040"/>
            <w:vAlign w:val="top"/>
          </w:tcPr>
          <w:p>
            <w:r/>
            <w:r>
              <w:rPr>
                <w:rFonts w:ascii="Aptos" w:hAnsi="Aptos"/>
                <w:b w:val="0"/>
                <w:sz w:val="14"/>
              </w:rPr>
              <w:t>Consumes $25k and 10 M test points; can make reworked boards immediately usable.</w:t>
            </w:r>
          </w:p>
        </w:tc>
      </w:tr>
      <w:tr>
        <w:tc>
          <w:tcPr>
            <w:tcW w:type="dxa" w:w="5040"/>
            <w:vAlign w:val="top"/>
          </w:tcPr>
          <w:p>
            <w:r/>
            <w:r>
              <w:rPr>
                <w:rFonts w:ascii="Aptos" w:hAnsi="Aptos"/>
                <w:b w:val="0"/>
                <w:sz w:val="14"/>
              </w:rPr>
              <w:t>Delayed risk</w:t>
            </w:r>
          </w:p>
        </w:tc>
        <w:tc>
          <w:tcPr>
            <w:tcW w:type="dxa" w:w="5040"/>
            <w:vAlign w:val="top"/>
          </w:tcPr>
          <w:p>
            <w:r/>
            <w:r>
              <w:rPr>
                <w:rFonts w:ascii="Aptos" w:hAnsi="Aptos"/>
                <w:b w:val="0"/>
                <w:sz w:val="14"/>
              </w:rPr>
              <w:t>Each shortcut-reworked board receives independent keyed 8% field-failure risk with 2-4 period delay.</w:t>
            </w:r>
          </w:p>
        </w:tc>
      </w:tr>
      <w:tr>
        <w:tc>
          <w:tcPr>
            <w:tcW w:type="dxa" w:w="5040"/>
            <w:vAlign w:val="top"/>
          </w:tcPr>
          <w:p>
            <w:r/>
            <w:r>
              <w:rPr>
                <w:rFonts w:ascii="Aptos" w:hAnsi="Aptos"/>
                <w:b w:val="0"/>
                <w:sz w:val="14"/>
              </w:rPr>
              <w:t>Comparison path</w:t>
            </w:r>
          </w:p>
        </w:tc>
        <w:tc>
          <w:tcPr>
            <w:tcW w:type="dxa" w:w="5040"/>
            <w:vAlign w:val="top"/>
          </w:tcPr>
          <w:p>
            <w:r/>
            <w:r>
              <w:rPr>
                <w:rFonts w:ascii="Aptos" w:hAnsi="Aptos"/>
                <w:b w:val="0"/>
                <w:sz w:val="14"/>
              </w:rPr>
              <w:t>Full rework costs $35k/20, 15 test points, one extra week, 1.5% delayed field-failure risk.</w:t>
            </w:r>
          </w:p>
        </w:tc>
      </w:tr>
      <w:tr>
        <w:tc>
          <w:tcPr>
            <w:tcW w:type="dxa" w:w="5040"/>
            <w:vAlign w:val="top"/>
          </w:tcPr>
          <w:p>
            <w:r/>
            <w:r>
              <w:rPr>
                <w:rFonts w:ascii="Aptos" w:hAnsi="Aptos"/>
                <w:b w:val="0"/>
                <w:sz w:val="14"/>
              </w:rPr>
              <w:t>Major event</w:t>
            </w:r>
          </w:p>
        </w:tc>
        <w:tc>
          <w:tcPr>
            <w:tcW w:type="dxa" w:w="5040"/>
            <w:vAlign w:val="top"/>
          </w:tcPr>
          <w:p>
            <w:r/>
            <w:r>
              <w:rPr>
                <w:rFonts w:ascii="Aptos" w:hAnsi="Aptos"/>
                <w:b w:val="0"/>
                <w:sz w:val="14"/>
              </w:rPr>
              <w:t>At least four attributable failures in the rolling delivered cohort can trigger major field-quality consequences.</w:t>
            </w:r>
          </w:p>
        </w:tc>
      </w:tr>
      <w:tr>
        <w:tc>
          <w:tcPr>
            <w:tcW w:type="dxa" w:w="5040"/>
            <w:vAlign w:val="top"/>
          </w:tcPr>
          <w:p>
            <w:r/>
            <w:r>
              <w:rPr>
                <w:rFonts w:ascii="Aptos" w:hAnsi="Aptos"/>
                <w:b w:val="0"/>
                <w:sz w:val="14"/>
              </w:rPr>
              <w:t>Downstream</w:t>
            </w:r>
          </w:p>
        </w:tc>
        <w:tc>
          <w:tcPr>
            <w:tcW w:type="dxa" w:w="5040"/>
            <w:vAlign w:val="top"/>
          </w:tcPr>
          <w:p>
            <w:r/>
            <w:r>
              <w:rPr>
                <w:rFonts w:ascii="Aptos" w:hAnsi="Aptos"/>
                <w:b w:val="0"/>
                <w:sz w:val="14"/>
              </w:rPr>
              <w:t>Containment/test loss, covenant deterioration, R action, and C pressure are typed later events; they do not occur retroactively.</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Immediate benefit and delayed harm are both represented without labeling shortcut rework intrinsically irrational.</w:t>
            </w:r>
          </w:p>
        </w:tc>
      </w:tr>
    </w:tbl>
    <w:p>
      <w:pPr>
        <w:spacing w:after="20"/>
      </w:pPr>
    </w:p>
    <w:p>
      <w:pPr>
        <w:pStyle w:val="Heading1"/>
      </w:pPr>
      <w:r>
        <w:t>11. T7 - No Fully Adequate Policy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Condition</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Adequate set</w:t>
            </w:r>
          </w:p>
        </w:tc>
        <w:tc>
          <w:tcPr>
            <w:tcW w:type="dxa" w:w="5040"/>
            <w:vAlign w:val="top"/>
          </w:tcPr>
          <w:p>
            <w:r/>
            <w:r>
              <w:rPr>
                <w:rFonts w:ascii="Aptos" w:hAnsi="Aptos"/>
                <w:b w:val="0"/>
                <w:sz w:val="14"/>
              </w:rPr>
              <w:t>Assume empty after Constraints/Domain Framing/Adequacy.</w:t>
            </w:r>
          </w:p>
        </w:tc>
      </w:tr>
      <w:tr>
        <w:tc>
          <w:tcPr>
            <w:tcW w:type="dxa" w:w="5040"/>
            <w:vAlign w:val="top"/>
          </w:tcPr>
          <w:p>
            <w:r/>
            <w:r>
              <w:rPr>
                <w:rFonts w:ascii="Aptos" w:hAnsi="Aptos"/>
                <w:b w:val="0"/>
                <w:sz w:val="14"/>
              </w:rPr>
              <w:t>Valid set</w:t>
            </w:r>
          </w:p>
        </w:tc>
        <w:tc>
          <w:tcPr>
            <w:tcW w:type="dxa" w:w="5040"/>
            <w:vAlign w:val="top"/>
          </w:tcPr>
          <w:p>
            <w:r/>
            <w:r>
              <w:rPr>
                <w:rFonts w:ascii="Aptos" w:hAnsi="Aptos"/>
                <w:b w:val="0"/>
                <w:sz w:val="14"/>
              </w:rPr>
              <w:t>Assume at least one valid policy remains.</w:t>
            </w:r>
          </w:p>
        </w:tc>
      </w:tr>
      <w:tr>
        <w:tc>
          <w:tcPr>
            <w:tcW w:type="dxa" w:w="5040"/>
            <w:vAlign w:val="top"/>
          </w:tcPr>
          <w:p>
            <w:r/>
            <w:r>
              <w:rPr>
                <w:rFonts w:ascii="Aptos" w:hAnsi="Aptos"/>
                <w:b w:val="0"/>
                <w:sz w:val="14"/>
              </w:rPr>
              <w:t>PV-PP</w:t>
            </w:r>
          </w:p>
        </w:tc>
        <w:tc>
          <w:tcPr>
            <w:tcW w:type="dxa" w:w="5040"/>
            <w:vAlign w:val="top"/>
          </w:tcPr>
          <w:p>
            <w:r/>
            <w:r>
              <w:rPr>
                <w:rFonts w:ascii="Aptos" w:hAnsi="Aptos"/>
                <w:b w:val="0"/>
                <w:sz w:val="14"/>
              </w:rPr>
              <w:t>Sigma enters canonical recovery-unavailable fallback; governing collapse structure and bounded override rules select among valid inadequate policies.</w:t>
            </w:r>
          </w:p>
        </w:tc>
      </w:tr>
      <w:tr>
        <w:tc>
          <w:tcPr>
            <w:tcW w:type="dxa" w:w="5040"/>
            <w:vAlign w:val="top"/>
          </w:tcPr>
          <w:p>
            <w:r/>
            <w:r>
              <w:rPr>
                <w:rFonts w:ascii="Aptos" w:hAnsi="Aptos"/>
                <w:b w:val="0"/>
                <w:sz w:val="14"/>
              </w:rPr>
              <w:t>B</w:t>
            </w:r>
          </w:p>
        </w:tc>
        <w:tc>
          <w:tcPr>
            <w:tcW w:type="dxa" w:w="5040"/>
            <w:vAlign w:val="top"/>
          </w:tcPr>
          <w:p>
            <w:r/>
            <w:r>
              <w:rPr>
                <w:rFonts w:ascii="Aptos" w:hAnsi="Aptos"/>
                <w:b w:val="0"/>
                <w:sz w:val="14"/>
              </w:rPr>
              <w:t>Selects the lowest constrained expected/CVaR scalar loss among feasible current root actions.</w:t>
            </w:r>
          </w:p>
        </w:tc>
      </w:tr>
      <w:tr>
        <w:tc>
          <w:tcPr>
            <w:tcW w:type="dxa" w:w="5040"/>
            <w:vAlign w:val="top"/>
          </w:tcPr>
          <w:p>
            <w:r/>
            <w:r>
              <w:rPr>
                <w:rFonts w:ascii="Aptos" w:hAnsi="Aptos"/>
                <w:b w:val="0"/>
                <w:sz w:val="14"/>
              </w:rPr>
              <w:t>C</w:t>
            </w:r>
          </w:p>
        </w:tc>
        <w:tc>
          <w:tcPr>
            <w:tcW w:type="dxa" w:w="5040"/>
            <w:vAlign w:val="top"/>
          </w:tcPr>
          <w:p>
            <w:r/>
            <w:r>
              <w:rPr>
                <w:rFonts w:ascii="Aptos" w:hAnsi="Aptos"/>
                <w:b w:val="0"/>
                <w:sz w:val="14"/>
              </w:rPr>
              <w:t>Applies its current-period ordered priorities.</w:t>
            </w:r>
          </w:p>
        </w:tc>
      </w:tr>
      <w:tr>
        <w:tc>
          <w:tcPr>
            <w:tcW w:type="dxa" w:w="5040"/>
            <w:vAlign w:val="top"/>
          </w:tcPr>
          <w:p>
            <w:r/>
            <w:r>
              <w:rPr>
                <w:rFonts w:ascii="Aptos" w:hAnsi="Aptos"/>
                <w:b w:val="0"/>
                <w:sz w:val="14"/>
              </w:rPr>
              <w:t>Evaluator</w:t>
            </w:r>
          </w:p>
        </w:tc>
        <w:tc>
          <w:tcPr>
            <w:tcW w:type="dxa" w:w="5040"/>
            <w:vAlign w:val="top"/>
          </w:tcPr>
          <w:p>
            <w:r/>
            <w:r>
              <w:rPr>
                <w:rFonts w:ascii="Aptos" w:hAnsi="Aptos"/>
                <w:b w:val="0"/>
                <w:sz w:val="14"/>
              </w:rPr>
              <w:t>Actual sustainable-recovery predicate remains post hoc and is not injected into any PRE packet.</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No-adequate state is not equivalent to no action and does not require a new operator.</w:t>
            </w:r>
          </w:p>
        </w:tc>
      </w:tr>
    </w:tbl>
    <w:p>
      <w:pPr>
        <w:spacing w:after="20"/>
      </w:pPr>
    </w:p>
    <w:p>
      <w:pPr>
        <w:pStyle w:val="Heading1"/>
      </w:pPr>
      <w:r>
        <w:t>12. T8 - S2 Opportunity Closure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Period</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6</w:t>
            </w:r>
          </w:p>
        </w:tc>
        <w:tc>
          <w:tcPr>
            <w:tcW w:type="dxa" w:w="5040"/>
            <w:vAlign w:val="top"/>
          </w:tcPr>
          <w:p>
            <w:r/>
            <w:r>
              <w:rPr>
                <w:rFonts w:ascii="Aptos" w:hAnsi="Aptos"/>
                <w:b w:val="0"/>
                <w:sz w:val="14"/>
              </w:rPr>
              <w:t>External buyer opportunity appears to S2. S2 knows it; M knows only if disclosure/signal occurs.</w:t>
            </w:r>
          </w:p>
        </w:tc>
      </w:tr>
      <w:tr>
        <w:tc>
          <w:tcPr>
            <w:tcW w:type="dxa" w:w="5040"/>
            <w:vAlign w:val="top"/>
          </w:tcPr>
          <w:p>
            <w:r/>
            <w:r>
              <w:rPr>
                <w:rFonts w:ascii="Aptos" w:hAnsi="Aptos"/>
                <w:b w:val="0"/>
                <w:sz w:val="14"/>
              </w:rPr>
              <w:t>6-7</w:t>
            </w:r>
          </w:p>
        </w:tc>
        <w:tc>
          <w:tcPr>
            <w:tcW w:type="dxa" w:w="5040"/>
            <w:vAlign w:val="top"/>
          </w:tcPr>
          <w:p>
            <w:r/>
            <w:r>
              <w:rPr>
                <w:rFonts w:ascii="Aptos" w:hAnsi="Aptos"/>
                <w:b w:val="0"/>
                <w:sz w:val="14"/>
              </w:rPr>
              <w:t>M may reserve/contract through common proposal/action grammar. S2 strategic disclosure rule applies.</w:t>
            </w:r>
          </w:p>
        </w:tc>
      </w:tr>
      <w:tr>
        <w:tc>
          <w:tcPr>
            <w:tcW w:type="dxa" w:w="5040"/>
            <w:vAlign w:val="top"/>
          </w:tcPr>
          <w:p>
            <w:r/>
            <w:r>
              <w:rPr>
                <w:rFonts w:ascii="Aptos" w:hAnsi="Aptos"/>
                <w:b w:val="0"/>
                <w:sz w:val="14"/>
              </w:rPr>
              <w:t>End 7</w:t>
            </w:r>
          </w:p>
        </w:tc>
        <w:tc>
          <w:tcPr>
            <w:tcW w:type="dxa" w:w="5040"/>
            <w:vAlign w:val="top"/>
          </w:tcPr>
          <w:p>
            <w:r/>
            <w:r>
              <w:rPr>
                <w:rFonts w:ascii="Aptos" w:hAnsi="Aptos"/>
                <w:b w:val="0"/>
                <w:sz w:val="14"/>
              </w:rPr>
              <w:t>If no qualifying M reservation/contract is executed, closure condition fires.</w:t>
            </w:r>
          </w:p>
        </w:tc>
      </w:tr>
      <w:tr>
        <w:tc>
          <w:tcPr>
            <w:tcW w:type="dxa" w:w="5040"/>
            <w:vAlign w:val="top"/>
          </w:tcPr>
          <w:p>
            <w:r/>
            <w:r>
              <w:rPr>
                <w:rFonts w:ascii="Aptos" w:hAnsi="Aptos"/>
                <w:b w:val="0"/>
                <w:sz w:val="14"/>
              </w:rPr>
              <w:t>8</w:t>
            </w:r>
          </w:p>
        </w:tc>
        <w:tc>
          <w:tcPr>
            <w:tcW w:type="dxa" w:w="5040"/>
            <w:vAlign w:val="top"/>
          </w:tcPr>
          <w:p>
            <w:r/>
            <w:r>
              <w:rPr>
                <w:rFonts w:ascii="Aptos" w:hAnsi="Aptos"/>
                <w:b w:val="0"/>
                <w:sz w:val="14"/>
              </w:rPr>
              <w:t>30 of S2's 70 weekly capacity becomes externally encumbered for five periods.</w:t>
            </w:r>
          </w:p>
        </w:tc>
      </w:tr>
      <w:tr>
        <w:tc>
          <w:tcPr>
            <w:tcW w:type="dxa" w:w="5040"/>
            <w:vAlign w:val="top"/>
          </w:tcPr>
          <w:p>
            <w:r/>
            <w:r>
              <w:rPr>
                <w:rFonts w:ascii="Aptos" w:hAnsi="Aptos"/>
                <w:b w:val="0"/>
                <w:sz w:val="14"/>
              </w:rPr>
              <w:t>Later discovery</w:t>
            </w:r>
          </w:p>
        </w:tc>
        <w:tc>
          <w:tcPr>
            <w:tcW w:type="dxa" w:w="5040"/>
            <w:vAlign w:val="top"/>
          </w:tcPr>
          <w:p>
            <w:r/>
            <w:r>
              <w:rPr>
                <w:rFonts w:ascii="Aptos" w:hAnsi="Aptos"/>
                <w:b w:val="0"/>
                <w:sz w:val="14"/>
              </w:rPr>
              <w:t>May change future PPP/belief but cannot retroactively alter M's period-6/7 PRE packets.</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Opportunity closure and epistemic timing are consistent.</w:t>
            </w:r>
          </w:p>
        </w:tc>
      </w:tr>
    </w:tbl>
    <w:p>
      <w:pPr>
        <w:spacing w:after="20"/>
      </w:pPr>
    </w:p>
    <w:p>
      <w:pPr>
        <w:pStyle w:val="Heading1"/>
      </w:pPr>
      <w:r>
        <w:t>13. T9 - Joint Proposal Rejection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Step</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Proposal</w:t>
            </w:r>
          </w:p>
        </w:tc>
        <w:tc>
          <w:tcPr>
            <w:tcW w:type="dxa" w:w="5040"/>
            <w:vAlign w:val="top"/>
          </w:tcPr>
          <w:p>
            <w:r/>
            <w:r>
              <w:rPr>
                <w:rFonts w:ascii="Aptos" w:hAnsi="Aptos"/>
                <w:b w:val="0"/>
                <w:sz w:val="14"/>
              </w:rPr>
              <w:t>M may request loan amendment, customer renegotiation, transport reservation, or S2 agreement.</w:t>
            </w:r>
          </w:p>
        </w:tc>
      </w:tr>
      <w:tr>
        <w:tc>
          <w:tcPr>
            <w:tcW w:type="dxa" w:w="5040"/>
            <w:vAlign w:val="top"/>
          </w:tcPr>
          <w:p>
            <w:r/>
            <w:r>
              <w:rPr>
                <w:rFonts w:ascii="Aptos" w:hAnsi="Aptos"/>
                <w:b w:val="0"/>
                <w:sz w:val="14"/>
              </w:rPr>
              <w:t>World status</w:t>
            </w:r>
          </w:p>
        </w:tc>
        <w:tc>
          <w:tcPr>
            <w:tcW w:type="dxa" w:w="5040"/>
            <w:vAlign w:val="top"/>
          </w:tcPr>
          <w:p>
            <w:r/>
            <w:r>
              <w:rPr>
                <w:rFonts w:ascii="Aptos" w:hAnsi="Aptos"/>
                <w:b w:val="0"/>
                <w:sz w:val="14"/>
              </w:rPr>
              <w:t>Proposal is not commitment and not execution.</w:t>
            </w:r>
          </w:p>
        </w:tc>
      </w:tr>
      <w:tr>
        <w:tc>
          <w:tcPr>
            <w:tcW w:type="dxa" w:w="5040"/>
            <w:vAlign w:val="top"/>
          </w:tcPr>
          <w:p>
            <w:r/>
            <w:r>
              <w:rPr>
                <w:rFonts w:ascii="Aptos" w:hAnsi="Aptos"/>
                <w:b w:val="0"/>
                <w:sz w:val="14"/>
              </w:rPr>
              <w:t>Counterparty</w:t>
            </w:r>
          </w:p>
        </w:tc>
        <w:tc>
          <w:tcPr>
            <w:tcW w:type="dxa" w:w="5040"/>
            <w:vAlign w:val="top"/>
          </w:tcPr>
          <w:p>
            <w:r/>
            <w:r>
              <w:rPr>
                <w:rFonts w:ascii="Aptos" w:hAnsi="Aptos"/>
                <w:b w:val="0"/>
                <w:sz w:val="14"/>
              </w:rPr>
              <w:t>Accepts/rejects under its own PRE/controller/rule and joint-feasibility constraints.</w:t>
            </w:r>
          </w:p>
        </w:tc>
      </w:tr>
      <w:tr>
        <w:tc>
          <w:tcPr>
            <w:tcW w:type="dxa" w:w="5040"/>
            <w:vAlign w:val="top"/>
          </w:tcPr>
          <w:p>
            <w:r/>
            <w:r>
              <w:rPr>
                <w:rFonts w:ascii="Aptos" w:hAnsi="Aptos"/>
                <w:b w:val="0"/>
                <w:sz w:val="14"/>
              </w:rPr>
              <w:t>No loop</w:t>
            </w:r>
          </w:p>
        </w:tc>
        <w:tc>
          <w:tcPr>
            <w:tcW w:type="dxa" w:w="5040"/>
            <w:vAlign w:val="top"/>
          </w:tcPr>
          <w:p>
            <w:r/>
            <w:r>
              <w:rPr>
                <w:rFonts w:ascii="Aptos" w:hAnsi="Aptos"/>
                <w:b w:val="0"/>
                <w:sz w:val="14"/>
              </w:rPr>
              <w:t>Primary benchmark has no same-period counteroffer loop.</w:t>
            </w:r>
          </w:p>
        </w:tc>
      </w:tr>
      <w:tr>
        <w:tc>
          <w:tcPr>
            <w:tcW w:type="dxa" w:w="5040"/>
            <w:vAlign w:val="top"/>
          </w:tcPr>
          <w:p>
            <w:r/>
            <w:r>
              <w:rPr>
                <w:rFonts w:ascii="Aptos" w:hAnsi="Aptos"/>
                <w:b w:val="0"/>
                <w:sz w:val="14"/>
              </w:rPr>
              <w:t>Fallback</w:t>
            </w:r>
          </w:p>
        </w:tc>
        <w:tc>
          <w:tcPr>
            <w:tcW w:type="dxa" w:w="5040"/>
            <w:vAlign w:val="top"/>
          </w:tcPr>
          <w:p>
            <w:r/>
            <w:r>
              <w:rPr>
                <w:rFonts w:ascii="Aptos" w:hAnsi="Aptos"/>
                <w:b w:val="0"/>
                <w:sz w:val="14"/>
              </w:rPr>
              <w:t>Rejected terms may be revised next period unless an explicitly frozen same-phase fallback was part of the original action grammar.</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Controllers cannot assume bilateral acceptance.</w:t>
            </w:r>
          </w:p>
        </w:tc>
      </w:tr>
    </w:tbl>
    <w:p>
      <w:pPr>
        <w:spacing w:after="20"/>
      </w:pPr>
    </w:p>
    <w:p>
      <w:pPr>
        <w:pStyle w:val="Heading1"/>
      </w:pPr>
      <w:r>
        <w:t>14. T10 - World Infeasibility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Step</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Observed failure</w:t>
            </w:r>
          </w:p>
        </w:tc>
        <w:tc>
          <w:tcPr>
            <w:tcW w:type="dxa" w:w="5040"/>
            <w:vAlign w:val="top"/>
          </w:tcPr>
          <w:p>
            <w:r/>
            <w:r>
              <w:rPr>
                <w:rFonts w:ascii="Aptos" w:hAnsi="Aptos"/>
                <w:b w:val="0"/>
                <w:sz w:val="14"/>
              </w:rPr>
              <w:t>Primary controller fails to achieve recovery.</w:t>
            </w:r>
          </w:p>
        </w:tc>
      </w:tr>
      <w:tr>
        <w:tc>
          <w:tcPr>
            <w:tcW w:type="dxa" w:w="5040"/>
            <w:vAlign w:val="top"/>
          </w:tcPr>
          <w:p>
            <w:r/>
            <w:r>
              <w:rPr>
                <w:rFonts w:ascii="Aptos" w:hAnsi="Aptos"/>
                <w:b w:val="0"/>
                <w:sz w:val="14"/>
              </w:rPr>
              <w:t>O1</w:t>
            </w:r>
          </w:p>
        </w:tc>
        <w:tc>
          <w:tcPr>
            <w:tcW w:type="dxa" w:w="5040"/>
            <w:vAlign w:val="top"/>
          </w:tcPr>
          <w:p>
            <w:r/>
            <w:r>
              <w:rPr>
                <w:rFonts w:ascii="Aptos" w:hAnsi="Aptos"/>
                <w:b w:val="0"/>
                <w:sz w:val="14"/>
              </w:rPr>
              <w:t>Actual-state oracle searches clean reachability for eight transitions with 250,000 evaluation ceiling.</w:t>
            </w:r>
          </w:p>
        </w:tc>
      </w:tr>
      <w:tr>
        <w:tc>
          <w:tcPr>
            <w:tcW w:type="dxa" w:w="5040"/>
            <w:vAlign w:val="top"/>
          </w:tcPr>
          <w:p>
            <w:r/>
            <w:r>
              <w:rPr>
                <w:rFonts w:ascii="Aptos" w:hAnsi="Aptos"/>
                <w:b w:val="0"/>
                <w:sz w:val="14"/>
              </w:rPr>
              <w:t>O2</w:t>
            </w:r>
          </w:p>
        </w:tc>
        <w:tc>
          <w:tcPr>
            <w:tcW w:type="dxa" w:w="5040"/>
            <w:vAlign w:val="top"/>
          </w:tcPr>
          <w:p>
            <w:r/>
            <w:r>
              <w:rPr>
                <w:rFonts w:ascii="Aptos" w:hAnsi="Aptos"/>
                <w:b w:val="0"/>
                <w:sz w:val="14"/>
              </w:rPr>
              <w:t>If needed, clairvoyant realized-trace oracle searches to the frozen capped horizon with 1,000,000 evaluations.</w:t>
            </w:r>
          </w:p>
        </w:tc>
      </w:tr>
      <w:tr>
        <w:tc>
          <w:tcPr>
            <w:tcW w:type="dxa" w:w="5040"/>
            <w:vAlign w:val="top"/>
          </w:tcPr>
          <w:p>
            <w:r/>
            <w:r>
              <w:rPr>
                <w:rFonts w:ascii="Aptos" w:hAnsi="Aptos"/>
                <w:b w:val="0"/>
                <w:sz w:val="14"/>
              </w:rPr>
              <w:t>Classification</w:t>
            </w:r>
          </w:p>
        </w:tc>
        <w:tc>
          <w:tcPr>
            <w:tcW w:type="dxa" w:w="5040"/>
            <w:vAlign w:val="top"/>
          </w:tcPr>
          <w:p>
            <w:r/>
            <w:r>
              <w:rPr>
                <w:rFonts w:ascii="Aptos" w:hAnsi="Aptos"/>
                <w:b w:val="0"/>
                <w:sz w:val="14"/>
              </w:rPr>
              <w:t>Failure to find recovery is 'proven infeasible' only with exhaustive finite-grammar search/completeness certificate.</w:t>
            </w:r>
          </w:p>
        </w:tc>
      </w:tr>
      <w:tr>
        <w:tc>
          <w:tcPr>
            <w:tcW w:type="dxa" w:w="5040"/>
            <w:vAlign w:val="top"/>
          </w:tcPr>
          <w:p>
            <w:r/>
            <w:r>
              <w:rPr>
                <w:rFonts w:ascii="Aptos" w:hAnsi="Aptos"/>
                <w:b w:val="0"/>
                <w:sz w:val="14"/>
              </w:rPr>
              <w:t>Timeout/nonexhaustive</w:t>
            </w:r>
          </w:p>
        </w:tc>
        <w:tc>
          <w:tcPr>
            <w:tcW w:type="dxa" w:w="5040"/>
            <w:vAlign w:val="top"/>
          </w:tcPr>
          <w:p>
            <w:r/>
            <w:r>
              <w:rPr>
                <w:rFonts w:ascii="Aptos" w:hAnsi="Aptos"/>
                <w:b w:val="0"/>
                <w:sz w:val="14"/>
              </w:rPr>
              <w:t>Classify UNDETERMINED, not controller failure and not world-infeasible proof.</w:t>
            </w:r>
          </w:p>
        </w:tc>
      </w:tr>
      <w:tr>
        <w:tc>
          <w:tcPr>
            <w:tcW w:type="dxa" w:w="5040"/>
            <w:vAlign w:val="top"/>
          </w:tcPr>
          <w:p>
            <w:r/>
            <w:r>
              <w:rPr>
                <w:rFonts w:ascii="Aptos" w:hAnsi="Aptos"/>
                <w:b w:val="0"/>
                <w:sz w:val="14"/>
              </w:rPr>
              <w:t>Damage containment</w:t>
            </w:r>
          </w:p>
        </w:tc>
        <w:tc>
          <w:tcPr>
            <w:tcW w:type="dxa" w:w="5040"/>
            <w:vAlign w:val="top"/>
          </w:tcPr>
          <w:p>
            <w:r/>
            <w:r>
              <w:rPr>
                <w:rFonts w:ascii="Aptos" w:hAnsi="Aptos"/>
                <w:b w:val="0"/>
                <w:sz w:val="14"/>
              </w:rPr>
              <w:t>Even demonstrated infeasibility leaves shortage, PP preservation, delay, and waste outcomes comparable.</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The attribution rule does not use an underpowered oracle as proof.</w:t>
            </w:r>
          </w:p>
        </w:tc>
      </w:tr>
    </w:tbl>
    <w:p>
      <w:pPr>
        <w:spacing w:after="20"/>
      </w:pPr>
    </w:p>
    <w:p>
      <w:pPr>
        <w:pStyle w:val="Heading1"/>
      </w:pPr>
      <w:r>
        <w:t>15. T11 - Scalar Sensitivity Hand Case</w:t>
      </w:r>
    </w:p>
    <w:p>
      <w:r>
        <w:t>A minimal manufacturer choice shows that the B panel can rationally change behavior solely because of pre-frozen weights, without changing facts or 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5"/>
              </w:rPr>
              <w:t>Normalized horizon loss dimension</w:t>
            </w:r>
          </w:p>
        </w:tc>
        <w:tc>
          <w:tcPr>
            <w:tcW w:type="dxa" w:w="3360"/>
            <w:vAlign w:val="top"/>
            <w:shd w:fill="D9E2F3"/>
          </w:tcPr>
          <w:p>
            <w:r/>
            <w:r>
              <w:rPr>
                <w:rFonts w:ascii="Aptos" w:hAnsi="Aptos"/>
                <w:b/>
                <w:sz w:val="15"/>
              </w:rPr>
              <w:t>Action Q: expedite/current continuity</w:t>
            </w:r>
          </w:p>
        </w:tc>
        <w:tc>
          <w:tcPr>
            <w:tcW w:type="dxa" w:w="3360"/>
            <w:vAlign w:val="top"/>
            <w:shd w:fill="D9E2F3"/>
          </w:tcPr>
          <w:p>
            <w:r/>
            <w:r>
              <w:rPr>
                <w:rFonts w:ascii="Aptos" w:hAnsi="Aptos"/>
                <w:b/>
                <w:sz w:val="15"/>
              </w:rPr>
              <w:t>Action R: conserve/recover</w:t>
            </w:r>
          </w:p>
        </w:tc>
      </w:tr>
      <w:tr>
        <w:tc>
          <w:tcPr>
            <w:tcW w:type="dxa" w:w="3360"/>
            <w:vAlign w:val="top"/>
          </w:tcPr>
          <w:p>
            <w:r/>
            <w:r>
              <w:rPr>
                <w:rFonts w:ascii="Aptos" w:hAnsi="Aptos"/>
                <w:b w:val="0"/>
                <w:sz w:val="14"/>
              </w:rPr>
              <w:t>Commitment/shortage</w:t>
            </w:r>
          </w:p>
        </w:tc>
        <w:tc>
          <w:tcPr>
            <w:tcW w:type="dxa" w:w="3360"/>
            <w:vAlign w:val="top"/>
          </w:tcPr>
          <w:p>
            <w:r/>
            <w:r>
              <w:rPr>
                <w:rFonts w:ascii="Aptos" w:hAnsi="Aptos"/>
                <w:b w:val="0"/>
                <w:sz w:val="14"/>
              </w:rPr>
              <w:t>0.20</w:t>
            </w:r>
          </w:p>
        </w:tc>
        <w:tc>
          <w:tcPr>
            <w:tcW w:type="dxa" w:w="3360"/>
            <w:vAlign w:val="top"/>
          </w:tcPr>
          <w:p>
            <w:r/>
            <w:r>
              <w:rPr>
                <w:rFonts w:ascii="Aptos" w:hAnsi="Aptos"/>
                <w:b w:val="0"/>
                <w:sz w:val="14"/>
              </w:rPr>
              <w:t>0.70</w:t>
            </w:r>
          </w:p>
        </w:tc>
      </w:tr>
      <w:tr>
        <w:tc>
          <w:tcPr>
            <w:tcW w:type="dxa" w:w="3360"/>
            <w:vAlign w:val="top"/>
          </w:tcPr>
          <w:p>
            <w:r/>
            <w:r>
              <w:rPr>
                <w:rFonts w:ascii="Aptos" w:hAnsi="Aptos"/>
                <w:b w:val="0"/>
                <w:sz w:val="14"/>
              </w:rPr>
              <w:t>Cash/covenant</w:t>
            </w:r>
          </w:p>
        </w:tc>
        <w:tc>
          <w:tcPr>
            <w:tcW w:type="dxa" w:w="3360"/>
            <w:vAlign w:val="top"/>
          </w:tcPr>
          <w:p>
            <w:r/>
            <w:r>
              <w:rPr>
                <w:rFonts w:ascii="Aptos" w:hAnsi="Aptos"/>
                <w:b w:val="0"/>
                <w:sz w:val="14"/>
              </w:rPr>
              <w:t>0.80</w:t>
            </w:r>
          </w:p>
        </w:tc>
        <w:tc>
          <w:tcPr>
            <w:tcW w:type="dxa" w:w="3360"/>
            <w:vAlign w:val="top"/>
          </w:tcPr>
          <w:p>
            <w:r/>
            <w:r>
              <w:rPr>
                <w:rFonts w:ascii="Aptos" w:hAnsi="Aptos"/>
                <w:b w:val="0"/>
                <w:sz w:val="14"/>
              </w:rPr>
              <w:t>0.30</w:t>
            </w:r>
          </w:p>
        </w:tc>
      </w:tr>
      <w:tr>
        <w:tc>
          <w:tcPr>
            <w:tcW w:type="dxa" w:w="3360"/>
            <w:vAlign w:val="top"/>
          </w:tcPr>
          <w:p>
            <w:r/>
            <w:r>
              <w:rPr>
                <w:rFonts w:ascii="Aptos" w:hAnsi="Aptos"/>
                <w:b w:val="0"/>
                <w:sz w:val="14"/>
              </w:rPr>
              <w:t>Capability degradation</w:t>
            </w:r>
          </w:p>
        </w:tc>
        <w:tc>
          <w:tcPr>
            <w:tcW w:type="dxa" w:w="3360"/>
            <w:vAlign w:val="top"/>
          </w:tcPr>
          <w:p>
            <w:r/>
            <w:r>
              <w:rPr>
                <w:rFonts w:ascii="Aptos" w:hAnsi="Aptos"/>
                <w:b w:val="0"/>
                <w:sz w:val="14"/>
              </w:rPr>
              <w:t>0.70</w:t>
            </w:r>
          </w:p>
        </w:tc>
        <w:tc>
          <w:tcPr>
            <w:tcW w:type="dxa" w:w="3360"/>
            <w:vAlign w:val="top"/>
          </w:tcPr>
          <w:p>
            <w:r/>
            <w:r>
              <w:rPr>
                <w:rFonts w:ascii="Aptos" w:hAnsi="Aptos"/>
                <w:b w:val="0"/>
                <w:sz w:val="14"/>
              </w:rPr>
              <w:t>0.20</w:t>
            </w:r>
          </w:p>
        </w:tc>
      </w:tr>
      <w:tr>
        <w:tc>
          <w:tcPr>
            <w:tcW w:type="dxa" w:w="3360"/>
            <w:vAlign w:val="top"/>
          </w:tcPr>
          <w:p>
            <w:r/>
            <w:r>
              <w:rPr>
                <w:rFonts w:ascii="Aptos" w:hAnsi="Aptos"/>
                <w:b w:val="0"/>
                <w:sz w:val="14"/>
              </w:rPr>
              <w:t>Quality</w:t>
            </w:r>
          </w:p>
        </w:tc>
        <w:tc>
          <w:tcPr>
            <w:tcW w:type="dxa" w:w="3360"/>
            <w:vAlign w:val="top"/>
          </w:tcPr>
          <w:p>
            <w:r/>
            <w:r>
              <w:rPr>
                <w:rFonts w:ascii="Aptos" w:hAnsi="Aptos"/>
                <w:b w:val="0"/>
                <w:sz w:val="14"/>
              </w:rPr>
              <w:t>0.60</w:t>
            </w:r>
          </w:p>
        </w:tc>
        <w:tc>
          <w:tcPr>
            <w:tcW w:type="dxa" w:w="3360"/>
            <w:vAlign w:val="top"/>
          </w:tcPr>
          <w:p>
            <w:r/>
            <w:r>
              <w:rPr>
                <w:rFonts w:ascii="Aptos" w:hAnsi="Aptos"/>
                <w:b w:val="0"/>
                <w:sz w:val="14"/>
              </w:rPr>
              <w:t>0.20</w:t>
            </w:r>
          </w:p>
        </w:tc>
      </w:tr>
      <w:tr>
        <w:tc>
          <w:tcPr>
            <w:tcW w:type="dxa" w:w="3360"/>
            <w:vAlign w:val="top"/>
          </w:tcPr>
          <w:p>
            <w:r/>
            <w:r>
              <w:rPr>
                <w:rFonts w:ascii="Aptos" w:hAnsi="Aptos"/>
                <w:b w:val="0"/>
                <w:sz w:val="14"/>
              </w:rPr>
              <w:t>Adaptation cost</w:t>
            </w:r>
          </w:p>
        </w:tc>
        <w:tc>
          <w:tcPr>
            <w:tcW w:type="dxa" w:w="3360"/>
            <w:vAlign w:val="top"/>
          </w:tcPr>
          <w:p>
            <w:r/>
            <w:r>
              <w:rPr>
                <w:rFonts w:ascii="Aptos" w:hAnsi="Aptos"/>
                <w:b w:val="0"/>
                <w:sz w:val="14"/>
              </w:rPr>
              <w:t>0.70</w:t>
            </w:r>
          </w:p>
        </w:tc>
        <w:tc>
          <w:tcPr>
            <w:tcW w:type="dxa" w:w="3360"/>
            <w:vAlign w:val="top"/>
          </w:tcPr>
          <w:p>
            <w:r/>
            <w:r>
              <w:rPr>
                <w:rFonts w:ascii="Aptos" w:hAnsi="Aptos"/>
                <w:b w:val="0"/>
                <w:sz w:val="14"/>
              </w:rPr>
              <w:t>0.30</w:t>
            </w:r>
          </w:p>
        </w:tc>
      </w:tr>
      <w:tr>
        <w:tc>
          <w:tcPr>
            <w:tcW w:type="dxa" w:w="3360"/>
            <w:vAlign w:val="top"/>
          </w:tcPr>
          <w:p>
            <w:r/>
            <w:r>
              <w:rPr>
                <w:rFonts w:ascii="Aptos" w:hAnsi="Aptos"/>
                <w:b w:val="0"/>
                <w:sz w:val="14"/>
              </w:rPr>
              <w:t>Recovery/irreversibility</w:t>
            </w:r>
          </w:p>
        </w:tc>
        <w:tc>
          <w:tcPr>
            <w:tcW w:type="dxa" w:w="3360"/>
            <w:vAlign w:val="top"/>
          </w:tcPr>
          <w:p>
            <w:r/>
            <w:r>
              <w:rPr>
                <w:rFonts w:ascii="Aptos" w:hAnsi="Aptos"/>
                <w:b w:val="0"/>
                <w:sz w:val="14"/>
              </w:rPr>
              <w:t>0.60</w:t>
            </w:r>
          </w:p>
        </w:tc>
        <w:tc>
          <w:tcPr>
            <w:tcW w:type="dxa" w:w="3360"/>
            <w:vAlign w:val="top"/>
          </w:tcPr>
          <w:p>
            <w:r/>
            <w:r>
              <w:rPr>
                <w:rFonts w:ascii="Aptos" w:hAnsi="Aptos"/>
                <w:b w:val="0"/>
                <w:sz w:val="14"/>
              </w:rPr>
              <w:t>0.20</w:t>
            </w:r>
          </w:p>
        </w:tc>
      </w:tr>
    </w:tbl>
    <w:p>
      <w:pPr>
        <w:spacing w:after="20"/>
      </w:pPr>
    </w:p>
    <w:p>
      <w:r>
        <w:t>Under the balanced B0 manufacturer weights, Q has weighted loss 3.675 and R 2.125, so R is preferred. Under a deliberately continuity-heavy transformation that raises commitment/shortage weight and reduces resilience dimensions, the gap narrows; a sufficiently continuity-heavy pre-registered variant can prefer Q. The important paper result is not the particular toy numbers but that B0-B4 are allowed to change choices without changing evidence or action space.</w:t>
      </w:r>
    </w:p>
    <w:p>
      <w:r>
        <w:t>Result: PASS. Scalar sensitivity is a real comparator property and prevents one weight vector from being treated as universal.</w:t>
      </w:r>
    </w:p>
    <w:p>
      <w:pPr>
        <w:pStyle w:val="Heading1"/>
      </w:pPr>
      <w:r>
        <w:t>16. T12 - Coordination Firewall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Check</w:t>
            </w:r>
          </w:p>
        </w:tc>
        <w:tc>
          <w:tcPr>
            <w:tcW w:type="dxa" w:w="5040"/>
            <w:vAlign w:val="top"/>
            <w:shd w:fill="D9E2F3"/>
          </w:tcPr>
          <w:p>
            <w:r/>
            <w:r>
              <w:rPr>
                <w:rFonts w:ascii="Aptos" w:hAnsi="Aptos"/>
                <w:b/>
                <w:sz w:val="15"/>
              </w:rPr>
              <w:t>Paper execution</w:t>
            </w:r>
          </w:p>
        </w:tc>
      </w:tr>
      <w:tr>
        <w:tc>
          <w:tcPr>
            <w:tcW w:type="dxa" w:w="5040"/>
            <w:vAlign w:val="top"/>
          </w:tcPr>
          <w:p>
            <w:r/>
            <w:r>
              <w:rPr>
                <w:rFonts w:ascii="Aptos" w:hAnsi="Aptos"/>
                <w:b w:val="0"/>
                <w:sz w:val="14"/>
              </w:rPr>
              <w:t>Instances</w:t>
            </w:r>
          </w:p>
        </w:tc>
        <w:tc>
          <w:tcPr>
            <w:tcW w:type="dxa" w:w="5040"/>
            <w:vAlign w:val="top"/>
          </w:tcPr>
          <w:p>
            <w:r/>
            <w:r>
              <w:rPr>
                <w:rFonts w:ascii="Aptos" w:hAnsi="Aptos"/>
                <w:b w:val="0"/>
                <w:sz w:val="14"/>
              </w:rPr>
              <w:t>Each economic agent has a separate controller instance/state.</w:t>
            </w:r>
          </w:p>
        </w:tc>
      </w:tr>
      <w:tr>
        <w:tc>
          <w:tcPr>
            <w:tcW w:type="dxa" w:w="5040"/>
            <w:vAlign w:val="top"/>
          </w:tcPr>
          <w:p>
            <w:r/>
            <w:r>
              <w:rPr>
                <w:rFonts w:ascii="Aptos" w:hAnsi="Aptos"/>
                <w:b w:val="0"/>
                <w:sz w:val="14"/>
              </w:rPr>
              <w:t>Private PRE</w:t>
            </w:r>
          </w:p>
        </w:tc>
        <w:tc>
          <w:tcPr>
            <w:tcW w:type="dxa" w:w="5040"/>
            <w:vAlign w:val="top"/>
          </w:tcPr>
          <w:p>
            <w:r/>
            <w:r>
              <w:rPr>
                <w:rFonts w:ascii="Aptos" w:hAnsi="Aptos"/>
                <w:b w:val="0"/>
                <w:sz w:val="14"/>
              </w:rPr>
              <w:t>Agent i receives only its role-authorized observations/messages/contracts/memory.</w:t>
            </w:r>
          </w:p>
        </w:tc>
      </w:tr>
      <w:tr>
        <w:tc>
          <w:tcPr>
            <w:tcW w:type="dxa" w:w="5040"/>
            <w:vAlign w:val="top"/>
          </w:tcPr>
          <w:p>
            <w:r/>
            <w:r>
              <w:rPr>
                <w:rFonts w:ascii="Aptos" w:hAnsi="Aptos"/>
                <w:b w:val="0"/>
                <w:sz w:val="14"/>
              </w:rPr>
              <w:t>Same regime</w:t>
            </w:r>
          </w:p>
        </w:tc>
        <w:tc>
          <w:tcPr>
            <w:tcW w:type="dxa" w:w="5040"/>
            <w:vAlign w:val="top"/>
          </w:tcPr>
          <w:p>
            <w:r/>
            <w:r>
              <w:rPr>
                <w:rFonts w:ascii="Aptos" w:hAnsi="Aptos"/>
                <w:b w:val="0"/>
                <w:sz w:val="14"/>
              </w:rPr>
              <w:t>Two A agents do not share PPP, memory, candidates, projections, or hidden state merely because both use PV-PP.</w:t>
            </w:r>
          </w:p>
        </w:tc>
      </w:tr>
      <w:tr>
        <w:tc>
          <w:tcPr>
            <w:tcW w:type="dxa" w:w="5040"/>
            <w:vAlign w:val="top"/>
          </w:tcPr>
          <w:p>
            <w:r/>
            <w:r>
              <w:rPr>
                <w:rFonts w:ascii="Aptos" w:hAnsi="Aptos"/>
                <w:b w:val="0"/>
                <w:sz w:val="14"/>
              </w:rPr>
              <w:t>Communication</w:t>
            </w:r>
          </w:p>
        </w:tc>
        <w:tc>
          <w:tcPr>
            <w:tcW w:type="dxa" w:w="5040"/>
            <w:vAlign w:val="top"/>
          </w:tcPr>
          <w:p>
            <w:r/>
            <w:r>
              <w:rPr>
                <w:rFonts w:ascii="Aptos" w:hAnsi="Aptos"/>
                <w:b w:val="0"/>
                <w:sz w:val="14"/>
              </w:rPr>
              <w:t>Cross-agent information moves only through world messages, proposals, commitments, authoritative notices, or execution evidence.</w:t>
            </w:r>
          </w:p>
        </w:tc>
      </w:tr>
      <w:tr>
        <w:tc>
          <w:tcPr>
            <w:tcW w:type="dxa" w:w="5040"/>
            <w:vAlign w:val="top"/>
          </w:tcPr>
          <w:p>
            <w:r/>
            <w:r>
              <w:rPr>
                <w:rFonts w:ascii="Aptos" w:hAnsi="Aptos"/>
                <w:b w:val="0"/>
                <w:sz w:val="14"/>
              </w:rPr>
              <w:t>Joint action</w:t>
            </w:r>
          </w:p>
        </w:tc>
        <w:tc>
          <w:tcPr>
            <w:tcW w:type="dxa" w:w="5040"/>
            <w:vAlign w:val="top"/>
          </w:tcPr>
          <w:p>
            <w:r/>
            <w:r>
              <w:rPr>
                <w:rFonts w:ascii="Aptos" w:hAnsi="Aptos"/>
                <w:b w:val="0"/>
                <w:sz w:val="14"/>
              </w:rPr>
              <w:t>World joint-feasibility resolver sees proposals; controller instances do not receive counterpart private state.</w:t>
            </w:r>
          </w:p>
        </w:tc>
      </w:tr>
      <w:tr>
        <w:tc>
          <w:tcPr>
            <w:tcW w:type="dxa" w:w="5040"/>
            <w:vAlign w:val="top"/>
          </w:tcPr>
          <w:p>
            <w:r/>
            <w:r>
              <w:rPr>
                <w:rFonts w:ascii="Aptos" w:hAnsi="Aptos"/>
                <w:b w:val="0"/>
                <w:sz w:val="14"/>
              </w:rPr>
              <w:t>Result</w:t>
            </w:r>
          </w:p>
        </w:tc>
        <w:tc>
          <w:tcPr>
            <w:tcW w:type="dxa" w:w="5040"/>
            <w:vAlign w:val="top"/>
          </w:tcPr>
          <w:p>
            <w:r/>
            <w:r>
              <w:rPr>
                <w:rFonts w:ascii="Aptos" w:hAnsi="Aptos"/>
                <w:b w:val="0"/>
                <w:sz w:val="14"/>
              </w:rPr>
              <w:t>PASS. Homogeneous regime population is not centralized coordination.</w:t>
            </w:r>
          </w:p>
        </w:tc>
      </w:tr>
    </w:tbl>
    <w:p>
      <w:pPr>
        <w:spacing w:after="20"/>
      </w:pPr>
    </w:p>
    <w:p>
      <w:pPr>
        <w:pStyle w:val="Heading1"/>
      </w:pPr>
      <w:r>
        <w:t>17. Manual Trace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5"/>
              </w:rPr>
              <w:t>Trace</w:t>
            </w:r>
          </w:p>
        </w:tc>
        <w:tc>
          <w:tcPr>
            <w:tcW w:type="dxa" w:w="3360"/>
            <w:vAlign w:val="top"/>
            <w:shd w:fill="D9E2F3"/>
          </w:tcPr>
          <w:p>
            <w:r/>
            <w:r>
              <w:rPr>
                <w:rFonts w:ascii="Aptos" w:hAnsi="Aptos"/>
                <w:b/>
                <w:sz w:val="15"/>
              </w:rPr>
              <w:t>Status</w:t>
            </w:r>
          </w:p>
        </w:tc>
        <w:tc>
          <w:tcPr>
            <w:tcW w:type="dxa" w:w="3360"/>
            <w:vAlign w:val="top"/>
            <w:shd w:fill="D9E2F3"/>
          </w:tcPr>
          <w:p>
            <w:r/>
            <w:r>
              <w:rPr>
                <w:rFonts w:ascii="Aptos" w:hAnsi="Aptos"/>
                <w:b/>
                <w:sz w:val="15"/>
              </w:rPr>
              <w:t>Implementation assertion required</w:t>
            </w:r>
          </w:p>
        </w:tc>
      </w:tr>
      <w:tr>
        <w:tc>
          <w:tcPr>
            <w:tcW w:type="dxa" w:w="3360"/>
            <w:vAlign w:val="top"/>
          </w:tcPr>
          <w:p>
            <w:r/>
            <w:r>
              <w:rPr>
                <w:rFonts w:ascii="Aptos" w:hAnsi="Aptos"/>
                <w:b w:val="0"/>
                <w:sz w:val="14"/>
              </w:rPr>
              <w:t>T1 Calm</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Six-period stability fixture.</w:t>
            </w:r>
          </w:p>
        </w:tc>
      </w:tr>
      <w:tr>
        <w:tc>
          <w:tcPr>
            <w:tcW w:type="dxa" w:w="3360"/>
            <w:vAlign w:val="top"/>
          </w:tcPr>
          <w:p>
            <w:r/>
            <w:r>
              <w:rPr>
                <w:rFonts w:ascii="Aptos" w:hAnsi="Aptos"/>
                <w:b w:val="0"/>
                <w:sz w:val="14"/>
              </w:rPr>
              <w:t>T2 Honest S1</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Evidence-event parity test.</w:t>
            </w:r>
          </w:p>
        </w:tc>
      </w:tr>
      <w:tr>
        <w:tc>
          <w:tcPr>
            <w:tcW w:type="dxa" w:w="3360"/>
            <w:vAlign w:val="top"/>
          </w:tcPr>
          <w:p>
            <w:r/>
            <w:r>
              <w:rPr>
                <w:rFonts w:ascii="Aptos" w:hAnsi="Aptos"/>
                <w:b w:val="0"/>
                <w:sz w:val="14"/>
              </w:rPr>
              <w:t>T3 Misleading S1</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No-oracle candidate test.</w:t>
            </w:r>
          </w:p>
        </w:tc>
      </w:tr>
      <w:tr>
        <w:tc>
          <w:tcPr>
            <w:tcW w:type="dxa" w:w="3360"/>
            <w:vAlign w:val="top"/>
          </w:tcPr>
          <w:p>
            <w:r/>
            <w:r>
              <w:rPr>
                <w:rFonts w:ascii="Aptos" w:hAnsi="Aptos"/>
                <w:b w:val="0"/>
                <w:sz w:val="14"/>
              </w:rPr>
              <w:t>T4 Stale memory</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Correction/history persistence test.</w:t>
            </w:r>
          </w:p>
        </w:tc>
      </w:tr>
      <w:tr>
        <w:tc>
          <w:tcPr>
            <w:tcW w:type="dxa" w:w="3360"/>
            <w:vAlign w:val="top"/>
          </w:tcPr>
          <w:p>
            <w:r/>
            <w:r>
              <w:rPr>
                <w:rFonts w:ascii="Aptos" w:hAnsi="Aptos"/>
                <w:b w:val="0"/>
                <w:sz w:val="14"/>
              </w:rPr>
              <w:t>T5 S2 qualification</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Stage/resource arithmetic test.</w:t>
            </w:r>
          </w:p>
        </w:tc>
      </w:tr>
      <w:tr>
        <w:tc>
          <w:tcPr>
            <w:tcW w:type="dxa" w:w="3360"/>
            <w:vAlign w:val="top"/>
          </w:tcPr>
          <w:p>
            <w:r/>
            <w:r>
              <w:rPr>
                <w:rFonts w:ascii="Aptos" w:hAnsi="Aptos"/>
                <w:b w:val="0"/>
                <w:sz w:val="14"/>
              </w:rPr>
              <w:t>T6 Shortcut rework</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Delayed-queue/cohort attribution test.</w:t>
            </w:r>
          </w:p>
        </w:tc>
      </w:tr>
      <w:tr>
        <w:tc>
          <w:tcPr>
            <w:tcW w:type="dxa" w:w="3360"/>
            <w:vAlign w:val="top"/>
          </w:tcPr>
          <w:p>
            <w:r/>
            <w:r>
              <w:rPr>
                <w:rFonts w:ascii="Aptos" w:hAnsi="Aptos"/>
                <w:b w:val="0"/>
                <w:sz w:val="14"/>
              </w:rPr>
              <w:t>T7 No adequate</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Canonical Sigma fallback conformance test.</w:t>
            </w:r>
          </w:p>
        </w:tc>
      </w:tr>
      <w:tr>
        <w:tc>
          <w:tcPr>
            <w:tcW w:type="dxa" w:w="3360"/>
            <w:vAlign w:val="top"/>
          </w:tcPr>
          <w:p>
            <w:r/>
            <w:r>
              <w:rPr>
                <w:rFonts w:ascii="Aptos" w:hAnsi="Aptos"/>
                <w:b w:val="0"/>
                <w:sz w:val="14"/>
              </w:rPr>
              <w:t>T8 Opportunity closure</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PRE packet timing/encumbrance test.</w:t>
            </w:r>
          </w:p>
        </w:tc>
      </w:tr>
      <w:tr>
        <w:tc>
          <w:tcPr>
            <w:tcW w:type="dxa" w:w="3360"/>
            <w:vAlign w:val="top"/>
          </w:tcPr>
          <w:p>
            <w:r/>
            <w:r>
              <w:rPr>
                <w:rFonts w:ascii="Aptos" w:hAnsi="Aptos"/>
                <w:b w:val="0"/>
                <w:sz w:val="14"/>
              </w:rPr>
              <w:t>T9 Proposal rejection</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Proposal != commitment test.</w:t>
            </w:r>
          </w:p>
        </w:tc>
      </w:tr>
      <w:tr>
        <w:tc>
          <w:tcPr>
            <w:tcW w:type="dxa" w:w="3360"/>
            <w:vAlign w:val="top"/>
          </w:tcPr>
          <w:p>
            <w:r/>
            <w:r>
              <w:rPr>
                <w:rFonts w:ascii="Aptos" w:hAnsi="Aptos"/>
                <w:b w:val="0"/>
                <w:sz w:val="14"/>
              </w:rPr>
              <w:t>T10 Infeasible</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Oracle exhaustive/undetermined classification test.</w:t>
            </w:r>
          </w:p>
        </w:tc>
      </w:tr>
      <w:tr>
        <w:tc>
          <w:tcPr>
            <w:tcW w:type="dxa" w:w="3360"/>
            <w:vAlign w:val="top"/>
          </w:tcPr>
          <w:p>
            <w:r/>
            <w:r>
              <w:rPr>
                <w:rFonts w:ascii="Aptos" w:hAnsi="Aptos"/>
                <w:b w:val="0"/>
                <w:sz w:val="14"/>
              </w:rPr>
              <w:t>T11 Scalar sensitivity</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B0-B4 action-divergence hand fixture.</w:t>
            </w:r>
          </w:p>
        </w:tc>
      </w:tr>
      <w:tr>
        <w:tc>
          <w:tcPr>
            <w:tcW w:type="dxa" w:w="3360"/>
            <w:vAlign w:val="top"/>
          </w:tcPr>
          <w:p>
            <w:r/>
            <w:r>
              <w:rPr>
                <w:rFonts w:ascii="Aptos" w:hAnsi="Aptos"/>
                <w:b w:val="0"/>
                <w:sz w:val="14"/>
              </w:rPr>
              <w:t>T12 Firewall</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Cross-agent private-state access must fail.</w:t>
            </w:r>
          </w:p>
        </w:tc>
      </w:tr>
    </w:tbl>
    <w:p>
      <w:pPr>
        <w:spacing w:after="20"/>
      </w:pPr>
    </w:p>
    <w:p>
      <w:pPr>
        <w:pStyle w:val="Heading1"/>
      </w:pPr>
      <w:r>
        <w:t>18. Issues Exposed by Trace Execution</w:t>
      </w:r>
    </w:p>
    <w:p>
      <w:r>
        <w:t>The paper traces did not expose a contradiction requiring redesign. They did expose three implementation assertions that should be elevated into the final manifest because failure would materially invalidate comparative results.</w:t>
      </w:r>
    </w:p>
    <w:p>
      <w:pPr>
        <w:pStyle w:val="ListBullet"/>
        <w:spacing w:after="20"/>
      </w:pPr>
      <w:r>
        <w:t>Qualification accounting must distinguish actual PP from accessible PP: engineering/test encumbrance reduces accessibility during the period but must not automatically destroy underlying PP.</w:t>
      </w:r>
    </w:p>
    <w:p>
      <w:pPr>
        <w:pStyle w:val="ListBullet"/>
        <w:spacing w:after="20"/>
      </w:pPr>
      <w:r>
        <w:t>Common-random-number coupling must be event-keyed, not call-order keyed, especially for board defects, delayed rework failures, messages, and transport failures.</w:t>
      </w:r>
    </w:p>
    <w:p>
      <w:pPr>
        <w:pStyle w:val="ListBullet"/>
        <w:spacing w:after="20"/>
      </w:pPr>
      <w:r>
        <w:t>The common action grammar must be logged before controller-specific pruning so a missing comparator action can be diagnosed as an interface/design error rather than a controller loss.</w:t>
      </w:r>
    </w:p>
    <w:p>
      <w:pPr>
        <w:pStyle w:val="Heading1"/>
      </w:pPr>
      <w:r>
        <w:t>19. Remaining Gates Before v0.9</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Gate</w:t>
            </w:r>
          </w:p>
        </w:tc>
        <w:tc>
          <w:tcPr>
            <w:tcW w:type="dxa" w:w="5040"/>
            <w:vAlign w:val="top"/>
            <w:shd w:fill="D9E2F3"/>
          </w:tcPr>
          <w:p>
            <w:r/>
            <w:r>
              <w:rPr>
                <w:rFonts w:ascii="Aptos" w:hAnsi="Aptos"/>
                <w:b/>
                <w:sz w:val="15"/>
              </w:rPr>
              <w:t>Status</w:t>
            </w:r>
          </w:p>
        </w:tc>
      </w:tr>
      <w:tr>
        <w:tc>
          <w:tcPr>
            <w:tcW w:type="dxa" w:w="5040"/>
            <w:vAlign w:val="top"/>
          </w:tcPr>
          <w:p>
            <w:r/>
            <w:r>
              <w:rPr>
                <w:rFonts w:ascii="Aptos" w:hAnsi="Aptos"/>
                <w:b w:val="0"/>
                <w:sz w:val="14"/>
              </w:rPr>
              <w:t>Paper architecture resolutions</w:t>
            </w:r>
          </w:p>
        </w:tc>
        <w:tc>
          <w:tcPr>
            <w:tcW w:type="dxa" w:w="5040"/>
            <w:vAlign w:val="top"/>
          </w:tcPr>
          <w:p>
            <w:r/>
            <w:r>
              <w:rPr>
                <w:rFonts w:ascii="Aptos" w:hAnsi="Aptos"/>
                <w:b w:val="0"/>
                <w:sz w:val="14"/>
              </w:rPr>
              <w:t>CLOSED by v0.8.</w:t>
            </w:r>
          </w:p>
        </w:tc>
      </w:tr>
      <w:tr>
        <w:tc>
          <w:tcPr>
            <w:tcW w:type="dxa" w:w="5040"/>
            <w:vAlign w:val="top"/>
          </w:tcPr>
          <w:p>
            <w:r/>
            <w:r>
              <w:rPr>
                <w:rFonts w:ascii="Aptos" w:hAnsi="Aptos"/>
                <w:b w:val="0"/>
                <w:sz w:val="14"/>
              </w:rPr>
              <w:t>T1-T12 paper traces</w:t>
            </w:r>
          </w:p>
        </w:tc>
        <w:tc>
          <w:tcPr>
            <w:tcW w:type="dxa" w:w="5040"/>
            <w:vAlign w:val="top"/>
          </w:tcPr>
          <w:p>
            <w:r/>
            <w:r>
              <w:rPr>
                <w:rFonts w:ascii="Aptos" w:hAnsi="Aptos"/>
                <w:b w:val="0"/>
                <w:sz w:val="14"/>
              </w:rPr>
              <w:t>CLOSED - all pass.</w:t>
            </w:r>
          </w:p>
        </w:tc>
      </w:tr>
      <w:tr>
        <w:tc>
          <w:tcPr>
            <w:tcW w:type="dxa" w:w="5040"/>
            <w:vAlign w:val="top"/>
          </w:tcPr>
          <w:p>
            <w:r/>
            <w:r>
              <w:rPr>
                <w:rFonts w:ascii="Aptos" w:hAnsi="Aptos"/>
                <w:b w:val="0"/>
                <w:sz w:val="14"/>
              </w:rPr>
              <w:t>Budget calibration procedure</w:t>
            </w:r>
          </w:p>
        </w:tc>
        <w:tc>
          <w:tcPr>
            <w:tcW w:type="dxa" w:w="5040"/>
            <w:vAlign w:val="top"/>
          </w:tcPr>
          <w:p>
            <w:r/>
            <w:r>
              <w:rPr>
                <w:rFonts w:ascii="Aptos" w:hAnsi="Aptos"/>
                <w:b w:val="0"/>
                <w:sz w:val="14"/>
              </w:rPr>
              <w:t>CLOSED; measured numeric ceiling awaits implementation dry run.</w:t>
            </w:r>
          </w:p>
        </w:tc>
      </w:tr>
      <w:tr>
        <w:tc>
          <w:tcPr>
            <w:tcW w:type="dxa" w:w="5040"/>
            <w:vAlign w:val="top"/>
          </w:tcPr>
          <w:p>
            <w:r/>
            <w:r>
              <w:rPr>
                <w:rFonts w:ascii="Aptos" w:hAnsi="Aptos"/>
                <w:b w:val="0"/>
                <w:sz w:val="14"/>
              </w:rPr>
              <w:t>Master seed recipe</w:t>
            </w:r>
          </w:p>
        </w:tc>
        <w:tc>
          <w:tcPr>
            <w:tcW w:type="dxa" w:w="5040"/>
            <w:vAlign w:val="top"/>
          </w:tcPr>
          <w:p>
            <w:r/>
            <w:r>
              <w:rPr>
                <w:rFonts w:ascii="Aptos" w:hAnsi="Aptos"/>
                <w:b w:val="0"/>
                <w:sz w:val="14"/>
              </w:rPr>
              <w:t>CLOSED.</w:t>
            </w:r>
          </w:p>
        </w:tc>
      </w:tr>
      <w:tr>
        <w:tc>
          <w:tcPr>
            <w:tcW w:type="dxa" w:w="5040"/>
            <w:vAlign w:val="top"/>
          </w:tcPr>
          <w:p>
            <w:r/>
            <w:r>
              <w:rPr>
                <w:rFonts w:ascii="Aptos" w:hAnsi="Aptos"/>
                <w:b w:val="0"/>
                <w:sz w:val="14"/>
              </w:rPr>
              <w:t>Ensemble-size selection procedure</w:t>
            </w:r>
          </w:p>
        </w:tc>
        <w:tc>
          <w:tcPr>
            <w:tcW w:type="dxa" w:w="5040"/>
            <w:vAlign w:val="top"/>
          </w:tcPr>
          <w:p>
            <w:r/>
            <w:r>
              <w:rPr>
                <w:rFonts w:ascii="Aptos" w:hAnsi="Aptos"/>
                <w:b w:val="0"/>
                <w:sz w:val="14"/>
              </w:rPr>
              <w:t>CLOSED; measured N awaits controller-free event-generator run.</w:t>
            </w:r>
          </w:p>
        </w:tc>
      </w:tr>
      <w:tr>
        <w:tc>
          <w:tcPr>
            <w:tcW w:type="dxa" w:w="5040"/>
            <w:vAlign w:val="top"/>
          </w:tcPr>
          <w:p>
            <w:r/>
            <w:r>
              <w:rPr>
                <w:rFonts w:ascii="Aptos" w:hAnsi="Aptos"/>
                <w:b w:val="0"/>
                <w:sz w:val="14"/>
              </w:rPr>
              <w:t>Actual controller/world implementation</w:t>
            </w:r>
          </w:p>
        </w:tc>
        <w:tc>
          <w:tcPr>
            <w:tcW w:type="dxa" w:w="5040"/>
            <w:vAlign w:val="top"/>
          </w:tcPr>
          <w:p>
            <w:r/>
            <w:r>
              <w:rPr>
                <w:rFonts w:ascii="Aptos" w:hAnsi="Aptos"/>
                <w:b w:val="0"/>
                <w:sz w:val="14"/>
              </w:rPr>
              <w:t>NOT AUTHORIZED by this record.</w:t>
            </w:r>
          </w:p>
        </w:tc>
      </w:tr>
      <w:tr>
        <w:tc>
          <w:tcPr>
            <w:tcW w:type="dxa" w:w="5040"/>
            <w:vAlign w:val="top"/>
          </w:tcPr>
          <w:p>
            <w:r/>
            <w:r>
              <w:rPr>
                <w:rFonts w:ascii="Aptos" w:hAnsi="Aptos"/>
                <w:b w:val="0"/>
                <w:sz w:val="14"/>
              </w:rPr>
              <w:t>v0.9 closure audit</w:t>
            </w:r>
          </w:p>
        </w:tc>
        <w:tc>
          <w:tcPr>
            <w:tcW w:type="dxa" w:w="5040"/>
            <w:vAlign w:val="top"/>
          </w:tcPr>
          <w:p>
            <w:r/>
            <w:r>
              <w:rPr>
                <w:rFonts w:ascii="Aptos" w:hAnsi="Aptos"/>
                <w:b w:val="0"/>
                <w:sz w:val="14"/>
              </w:rPr>
              <w:t>NEXT.</w:t>
            </w:r>
          </w:p>
        </w:tc>
      </w:tr>
      <w:tr>
        <w:tc>
          <w:tcPr>
            <w:tcW w:type="dxa" w:w="5040"/>
            <w:vAlign w:val="top"/>
          </w:tcPr>
          <w:p>
            <w:r/>
            <w:r>
              <w:rPr>
                <w:rFonts w:ascii="Aptos" w:hAnsi="Aptos"/>
                <w:b w:val="0"/>
                <w:sz w:val="14"/>
              </w:rPr>
              <w:t>Pre-Freeze Manifest</w:t>
            </w:r>
          </w:p>
        </w:tc>
        <w:tc>
          <w:tcPr>
            <w:tcW w:type="dxa" w:w="5040"/>
            <w:vAlign w:val="top"/>
          </w:tcPr>
          <w:p>
            <w:r/>
            <w:r>
              <w:rPr>
                <w:rFonts w:ascii="Aptos" w:hAnsi="Aptos"/>
                <w:b w:val="0"/>
                <w:sz w:val="14"/>
              </w:rPr>
              <w:t>WITHHELD pending v0.9.</w:t>
            </w:r>
          </w:p>
        </w:tc>
      </w:tr>
    </w:tbl>
    <w:p>
      <w:pPr>
        <w:spacing w:after="20"/>
      </w:pPr>
    </w:p>
    <w:p>
      <w:pPr>
        <w:pStyle w:val="Heading1"/>
      </w:pPr>
      <w:r>
        <w:t>20. Verification Judgment</w:t>
      </w:r>
    </w:p>
    <w:p>
      <w:r>
        <w:t>The benchmark has now advanced as far as it can honestly advance on paper without implementing the world and controller interfaces. The twelve manual traces are internally executable under the current specifications and do not require a new mechanism or a theory change.</w:t>
      </w:r>
    </w:p>
    <w:p>
      <w:r>
        <w:t>The two unresolved numeric items - the final common computation ceiling and the final stochastic ensemble size - are empirical calibration outputs by design. Treating their absence as a paper-specification defect would be incorrect; choosing them without implementation would be fabricated precision.</w:t>
      </w:r>
    </w:p>
    <w:p>
      <w:r>
        <w:t>Disposition: PAPER VERIFICATION PASSED. Proceed to v0.9 closure audit. Comparative implementation remains unauthorized until that audit determines whether the Pre-Freeze Manifest may be issued.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Benchmark Calibration and Manual Trace Execution Record v0.8.1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