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Pre-Freeze Closure Audit - Version 0.9</w:t>
      </w:r>
    </w:p>
    <w:p>
      <w:pPr>
        <w:jc w:val="center"/>
      </w:pPr>
      <w:r>
        <w:t>Closure Review of v0.7 Findings After v0.8 and v0.8.1</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Field</w:t>
            </w:r>
          </w:p>
        </w:tc>
        <w:tc>
          <w:tcPr>
            <w:tcW w:type="dxa" w:w="5040"/>
            <w:vAlign w:val="top"/>
            <w:shd w:fill="D9E2F3"/>
          </w:tcPr>
          <w:p>
            <w:r/>
            <w:r>
              <w:rPr>
                <w:rFonts w:ascii="Aptos" w:hAnsi="Aptos"/>
                <w:b/>
                <w:sz w:val="15"/>
              </w:rPr>
              <w:t>Closure conclusion</w:t>
            </w:r>
          </w:p>
        </w:tc>
      </w:tr>
      <w:tr>
        <w:tc>
          <w:tcPr>
            <w:tcW w:type="dxa" w:w="5040"/>
            <w:vAlign w:val="top"/>
          </w:tcPr>
          <w:p>
            <w:r/>
            <w:r>
              <w:rPr>
                <w:rFonts w:ascii="Aptos" w:hAnsi="Aptos"/>
                <w:b w:val="0"/>
                <w:sz w:val="14"/>
              </w:rPr>
              <w:t>Documents reviewed</w:t>
            </w:r>
          </w:p>
        </w:tc>
        <w:tc>
          <w:tcPr>
            <w:tcW w:type="dxa" w:w="5040"/>
            <w:vAlign w:val="top"/>
          </w:tcPr>
          <w:p>
            <w:r/>
            <w:r>
              <w:rPr>
                <w:rFonts w:ascii="Aptos" w:hAnsi="Aptos"/>
                <w:b w:val="0"/>
                <w:sz w:val="14"/>
              </w:rPr>
              <w:t>Benchmark specifications v0.1-v0.6; Paper-Only Audit v0.7; Resolution Addendum v0.8; Calibration and Manual Trace Record v0.8.1.</w:t>
            </w:r>
          </w:p>
        </w:tc>
      </w:tr>
      <w:tr>
        <w:tc>
          <w:tcPr>
            <w:tcW w:type="dxa" w:w="5040"/>
            <w:vAlign w:val="top"/>
          </w:tcPr>
          <w:p>
            <w:r/>
            <w:r>
              <w:rPr>
                <w:rFonts w:ascii="Aptos" w:hAnsi="Aptos"/>
                <w:b w:val="0"/>
                <w:sz w:val="14"/>
              </w:rPr>
              <w:t>Canonical authority check</w:t>
            </w:r>
          </w:p>
        </w:tc>
        <w:tc>
          <w:tcPr>
            <w:tcW w:type="dxa" w:w="5040"/>
            <w:vAlign w:val="top"/>
          </w:tcPr>
          <w:p>
            <w:r/>
            <w:r>
              <w:rPr>
                <w:rFonts w:ascii="Aptos" w:hAnsi="Aptos"/>
                <w:b w:val="0"/>
                <w:sz w:val="14"/>
              </w:rPr>
              <w:t>Selection Operator Sigma/Fallback authority confirms ordered standard, recovery-unavailable fallback, and terminal-infeasibility modes; Sigma is selection-only, deterministic with fixed tie rules, and epsilon does not repair/re-rank.</w:t>
            </w:r>
          </w:p>
        </w:tc>
      </w:tr>
      <w:tr>
        <w:tc>
          <w:tcPr>
            <w:tcW w:type="dxa" w:w="5040"/>
            <w:vAlign w:val="top"/>
          </w:tcPr>
          <w:p>
            <w:r/>
            <w:r>
              <w:rPr>
                <w:rFonts w:ascii="Aptos" w:hAnsi="Aptos"/>
                <w:b w:val="0"/>
                <w:sz w:val="14"/>
              </w:rPr>
              <w:t>v0.7 blocking findings</w:t>
            </w:r>
          </w:p>
        </w:tc>
        <w:tc>
          <w:tcPr>
            <w:tcW w:type="dxa" w:w="5040"/>
            <w:vAlign w:val="top"/>
          </w:tcPr>
          <w:p>
            <w:r/>
            <w:r>
              <w:rPr>
                <w:rFonts w:ascii="Aptos" w:hAnsi="Aptos"/>
                <w:b w:val="0"/>
                <w:sz w:val="14"/>
              </w:rPr>
              <w:t>B1-B5 and B7-B12 closed on paper. B6 is closed as a calibration procedure but its final numeric ceiling is necessarily empirical.</w:t>
            </w:r>
          </w:p>
        </w:tc>
      </w:tr>
      <w:tr>
        <w:tc>
          <w:tcPr>
            <w:tcW w:type="dxa" w:w="5040"/>
            <w:vAlign w:val="top"/>
          </w:tcPr>
          <w:p>
            <w:r/>
            <w:r>
              <w:rPr>
                <w:rFonts w:ascii="Aptos" w:hAnsi="Aptos"/>
                <w:b w:val="0"/>
                <w:sz w:val="14"/>
              </w:rPr>
              <w:t>v0.7 hidden findings</w:t>
            </w:r>
          </w:p>
        </w:tc>
        <w:tc>
          <w:tcPr>
            <w:tcW w:type="dxa" w:w="5040"/>
            <w:vAlign w:val="top"/>
          </w:tcPr>
          <w:p>
            <w:r/>
            <w:r>
              <w:rPr>
                <w:rFonts w:ascii="Aptos" w:hAnsi="Aptos"/>
                <w:b w:val="0"/>
                <w:sz w:val="14"/>
              </w:rPr>
              <w:t>H1-H9 closed on paper.</w:t>
            </w:r>
          </w:p>
        </w:tc>
      </w:tr>
      <w:tr>
        <w:tc>
          <w:tcPr>
            <w:tcW w:type="dxa" w:w="5040"/>
            <w:vAlign w:val="top"/>
          </w:tcPr>
          <w:p>
            <w:r/>
            <w:r>
              <w:rPr>
                <w:rFonts w:ascii="Aptos" w:hAnsi="Aptos"/>
                <w:b w:val="0"/>
                <w:sz w:val="14"/>
              </w:rPr>
              <w:t>Consistency findings</w:t>
            </w:r>
          </w:p>
        </w:tc>
        <w:tc>
          <w:tcPr>
            <w:tcW w:type="dxa" w:w="5040"/>
            <w:vAlign w:val="top"/>
          </w:tcPr>
          <w:p>
            <w:r/>
            <w:r>
              <w:rPr>
                <w:rFonts w:ascii="Aptos" w:hAnsi="Aptos"/>
                <w:b w:val="0"/>
                <w:sz w:val="14"/>
              </w:rPr>
              <w:t>C1-C10 resolved or explicitly superseded.</w:t>
            </w:r>
          </w:p>
        </w:tc>
      </w:tr>
      <w:tr>
        <w:tc>
          <w:tcPr>
            <w:tcW w:type="dxa" w:w="5040"/>
            <w:vAlign w:val="top"/>
          </w:tcPr>
          <w:p>
            <w:r/>
            <w:r>
              <w:rPr>
                <w:rFonts w:ascii="Aptos" w:hAnsi="Aptos"/>
                <w:b w:val="0"/>
                <w:sz w:val="14"/>
              </w:rPr>
              <w:t>Manual traces</w:t>
            </w:r>
          </w:p>
        </w:tc>
        <w:tc>
          <w:tcPr>
            <w:tcW w:type="dxa" w:w="5040"/>
            <w:vAlign w:val="top"/>
          </w:tcPr>
          <w:p>
            <w:r/>
            <w:r>
              <w:rPr>
                <w:rFonts w:ascii="Aptos" w:hAnsi="Aptos"/>
                <w:b w:val="0"/>
                <w:sz w:val="14"/>
              </w:rPr>
              <w:t>T1-T12 pass on paper; no redesign required.</w:t>
            </w:r>
          </w:p>
        </w:tc>
      </w:tr>
      <w:tr>
        <w:tc>
          <w:tcPr>
            <w:tcW w:type="dxa" w:w="5040"/>
            <w:vAlign w:val="top"/>
          </w:tcPr>
          <w:p>
            <w:r/>
            <w:r>
              <w:rPr>
                <w:rFonts w:ascii="Aptos" w:hAnsi="Aptos"/>
                <w:b w:val="0"/>
                <w:sz w:val="14"/>
              </w:rPr>
              <w:t>Overall result</w:t>
            </w:r>
          </w:p>
        </w:tc>
        <w:tc>
          <w:tcPr>
            <w:tcW w:type="dxa" w:w="5040"/>
            <w:vAlign w:val="top"/>
          </w:tcPr>
          <w:p>
            <w:r/>
            <w:r>
              <w:rPr>
                <w:rFonts w:ascii="Aptos" w:hAnsi="Aptos"/>
                <w:b w:val="0"/>
                <w:sz w:val="14"/>
              </w:rPr>
              <w:t>READY FOR PRE-IMPLEMENTATION FREEZE MANIFEST AND CALIBRATION BUILD. NOT READY FOR PRIMARY COMPARATIVE EXECUTION.</w:t>
            </w:r>
          </w:p>
        </w:tc>
      </w:tr>
      <w:tr>
        <w:tc>
          <w:tcPr>
            <w:tcW w:type="dxa" w:w="5040"/>
            <w:vAlign w:val="top"/>
          </w:tcPr>
          <w:p>
            <w:r/>
            <w:r>
              <w:rPr>
                <w:rFonts w:ascii="Aptos" w:hAnsi="Aptos"/>
                <w:b w:val="0"/>
                <w:sz w:val="14"/>
              </w:rPr>
              <w:t>Critical qualification</w:t>
            </w:r>
          </w:p>
        </w:tc>
        <w:tc>
          <w:tcPr>
            <w:tcW w:type="dxa" w:w="5040"/>
            <w:vAlign w:val="top"/>
          </w:tcPr>
          <w:p>
            <w:r/>
            <w:r>
              <w:rPr>
                <w:rFonts w:ascii="Aptos" w:hAnsi="Aptos"/>
                <w:b w:val="0"/>
                <w:sz w:val="14"/>
              </w:rPr>
              <w:t>The final computation ceiling and stochastic ensemble size cannot be measured before code exists. The earlier wording that implementation must wait for those measured values creates a bootstrap circularity. This audit resolves that by separating calibration implementation from primary comparative execution.</w:t>
            </w:r>
          </w:p>
        </w:tc>
      </w:tr>
    </w:tbl>
    <w:p>
      <w:pPr>
        <w:spacing w:after="20"/>
      </w:pPr>
    </w:p>
    <w:p>
      <w:pPr>
        <w:pStyle w:val="Heading1"/>
      </w:pPr>
      <w:r>
        <w:t>1. Executive Closure Judgment</w:t>
      </w:r>
    </w:p>
    <w:p>
      <w:r>
        <w:t>The v0.7 audit's substantive design objections have been closed. The benchmark now has a coherent world/state specification, bounded information architecture, common action/execution grammar, explicit PV-PP and comparator contracts, external outcome system, failure-attribution procedure, stochastic fixture rules, and immutable ledger discipline. The v0.8.1 manual traces do not expose a contradiction requiring a new mechanism or a PV-PP architecture change.</w:t>
      </w:r>
    </w:p>
    <w:p>
      <w:r>
        <w:t>One process defect remains in the prior sequencing language: v0.8 requires empirical computation-budget and ensemble-size calibration, while also saying comparative implementation remains unauthorized until a manifest. Those empirical values cannot be obtained without implementing at least the world/event generator and controller interfaces. This is not a benchmark-theory defect. It is a freeze-process circularity.</w:t>
      </w:r>
    </w:p>
    <w:p>
      <w:r>
        <w:t>The correct gate is therefore two-stage: first freeze the paper architecture and authorize calibration-only implementation; then record the measured calibration outputs in a final execution lock before any primary A/B/C results are generated.</w:t>
      </w:r>
    </w:p>
    <w:p>
      <w:pPr>
        <w:pStyle w:val="Heading1"/>
      </w:pPr>
      <w:r>
        <w:t>2. Canonical Authority Closure</w:t>
      </w:r>
    </w:p>
    <w:p>
      <w:r>
        <w:t>The canonical Sigma specification supports the v0.8 architectural resolution. Sigma selects from adequate policies when that set is nonempty, moves to recovery-unavailable fallback when adequate is empty but valid is nonempty, and moves to terminal infeasibility when valid is empty. Fallback is internal to Sigma. Sigma does not define feasibility or adequacy and does not repair upstream defects. With fixed inputs and tie-resolution rules, selection is deterministic; epsilon realizes the selected policy without re-ranking, re-filtering, repair, or reinterpretation.</w:t>
      </w:r>
    </w:p>
    <w:p>
      <w:r>
        <w:t>The same canonical source explicitly leaves sensitivity to projection quality and structural-damage/override parameterization visible. v0.8 therefore correctly treats the Asterion one-period override margin and categorical critical-structure cases as benchmark fixtures inside the canonical envelope rather than universal PV-PP constants.</w:t>
      </w:r>
    </w:p>
    <w:p>
      <w:pPr>
        <w:pStyle w:val="Heading1"/>
      </w:pPr>
      <w:r>
        <w:t>3. Closure of v0.7 Blocking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2F3"/>
          </w:tcPr>
          <w:p>
            <w:r/>
            <w:r>
              <w:rPr>
                <w:rFonts w:ascii="Aptos" w:hAnsi="Aptos"/>
                <w:b/>
                <w:sz w:val="15"/>
              </w:rPr>
              <w:t>ID</w:t>
            </w:r>
          </w:p>
        </w:tc>
        <w:tc>
          <w:tcPr>
            <w:tcW w:type="dxa" w:w="2520"/>
            <w:vAlign w:val="top"/>
            <w:shd w:fill="D9E2F3"/>
          </w:tcPr>
          <w:p>
            <w:r/>
            <w:r>
              <w:rPr>
                <w:rFonts w:ascii="Aptos" w:hAnsi="Aptos"/>
                <w:b/>
                <w:sz w:val="15"/>
              </w:rPr>
              <w:t>v0.7 issue</w:t>
            </w:r>
          </w:p>
        </w:tc>
        <w:tc>
          <w:tcPr>
            <w:tcW w:type="dxa" w:w="2520"/>
            <w:vAlign w:val="top"/>
            <w:shd w:fill="D9E2F3"/>
          </w:tcPr>
          <w:p>
            <w:r/>
            <w:r>
              <w:rPr>
                <w:rFonts w:ascii="Aptos" w:hAnsi="Aptos"/>
                <w:b/>
                <w:sz w:val="15"/>
              </w:rPr>
              <w:t>Closure status</w:t>
            </w:r>
          </w:p>
        </w:tc>
        <w:tc>
          <w:tcPr>
            <w:tcW w:type="dxa" w:w="2520"/>
            <w:vAlign w:val="top"/>
            <w:shd w:fill="D9E2F3"/>
          </w:tcPr>
          <w:p>
            <w:r/>
            <w:r>
              <w:rPr>
                <w:rFonts w:ascii="Aptos" w:hAnsi="Aptos"/>
                <w:b/>
                <w:sz w:val="15"/>
              </w:rPr>
              <w:t>Closure basis</w:t>
            </w:r>
          </w:p>
        </w:tc>
      </w:tr>
      <w:tr>
        <w:tc>
          <w:tcPr>
            <w:tcW w:type="dxa" w:w="2520"/>
            <w:vAlign w:val="top"/>
          </w:tcPr>
          <w:p>
            <w:r/>
            <w:r>
              <w:rPr>
                <w:rFonts w:ascii="Aptos" w:hAnsi="Aptos"/>
                <w:b w:val="0"/>
                <w:sz w:val="14"/>
              </w:rPr>
              <w:t>B1</w:t>
            </w:r>
          </w:p>
        </w:tc>
        <w:tc>
          <w:tcPr>
            <w:tcW w:type="dxa" w:w="2520"/>
            <w:vAlign w:val="top"/>
          </w:tcPr>
          <w:p>
            <w:r/>
            <w:r>
              <w:rPr>
                <w:rFonts w:ascii="Aptos" w:hAnsi="Aptos"/>
                <w:b w:val="0"/>
                <w:sz w:val="14"/>
              </w:rPr>
              <w:t>Sigma tie/no-adequate behavior</w:t>
            </w:r>
          </w:p>
        </w:tc>
        <w:tc>
          <w:tcPr>
            <w:tcW w:type="dxa" w:w="2520"/>
            <w:vAlign w:val="top"/>
          </w:tcPr>
          <w:p>
            <w:r/>
            <w:r>
              <w:rPr>
                <w:rFonts w:ascii="Aptos" w:hAnsi="Aptos"/>
                <w:b w:val="0"/>
                <w:sz w:val="14"/>
              </w:rPr>
              <w:t>CLOSED</w:t>
            </w:r>
          </w:p>
        </w:tc>
        <w:tc>
          <w:tcPr>
            <w:tcW w:type="dxa" w:w="2520"/>
            <w:vAlign w:val="top"/>
          </w:tcPr>
          <w:p>
            <w:r/>
            <w:r>
              <w:rPr>
                <w:rFonts w:ascii="Aptos" w:hAnsi="Aptos"/>
                <w:b w:val="0"/>
                <w:sz w:val="14"/>
              </w:rPr>
              <w:t>Canonical Sigma/Fallback authority plus v0.8 Sections 2-3.</w:t>
            </w:r>
          </w:p>
        </w:tc>
      </w:tr>
      <w:tr>
        <w:tc>
          <w:tcPr>
            <w:tcW w:type="dxa" w:w="2520"/>
            <w:vAlign w:val="top"/>
          </w:tcPr>
          <w:p>
            <w:r/>
            <w:r>
              <w:rPr>
                <w:rFonts w:ascii="Aptos" w:hAnsi="Aptos"/>
                <w:b w:val="0"/>
                <w:sz w:val="14"/>
              </w:rPr>
              <w:t>B2</w:t>
            </w:r>
          </w:p>
        </w:tc>
        <w:tc>
          <w:tcPr>
            <w:tcW w:type="dxa" w:w="2520"/>
            <w:vAlign w:val="top"/>
          </w:tcPr>
          <w:p>
            <w:r/>
            <w:r>
              <w:rPr>
                <w:rFonts w:ascii="Aptos" w:hAnsi="Aptos"/>
                <w:b w:val="0"/>
                <w:sz w:val="14"/>
              </w:rPr>
              <w:t>PV-PP projection/search implementation</w:t>
            </w:r>
          </w:p>
        </w:tc>
        <w:tc>
          <w:tcPr>
            <w:tcW w:type="dxa" w:w="2520"/>
            <w:vAlign w:val="top"/>
          </w:tcPr>
          <w:p>
            <w:r/>
            <w:r>
              <w:rPr>
                <w:rFonts w:ascii="Aptos" w:hAnsi="Aptos"/>
                <w:b w:val="0"/>
                <w:sz w:val="14"/>
              </w:rPr>
              <w:t>CLOSED ON PAPER</w:t>
            </w:r>
          </w:p>
        </w:tc>
        <w:tc>
          <w:tcPr>
            <w:tcW w:type="dxa" w:w="2520"/>
            <w:vAlign w:val="top"/>
          </w:tcPr>
          <w:p>
            <w:r/>
            <w:r>
              <w:rPr>
                <w:rFonts w:ascii="Aptos" w:hAnsi="Aptos"/>
                <w:b w:val="0"/>
                <w:sz w:val="14"/>
              </w:rPr>
              <w:t>v0.8 Section 4 freezes common grammar, licensed substrate, Pi/Pi-completeness, projection interface, anytime behavior, and logging.</w:t>
            </w:r>
          </w:p>
        </w:tc>
      </w:tr>
      <w:tr>
        <w:tc>
          <w:tcPr>
            <w:tcW w:type="dxa" w:w="2520"/>
            <w:vAlign w:val="top"/>
          </w:tcPr>
          <w:p>
            <w:r/>
            <w:r>
              <w:rPr>
                <w:rFonts w:ascii="Aptos" w:hAnsi="Aptos"/>
                <w:b w:val="0"/>
                <w:sz w:val="14"/>
              </w:rPr>
              <w:t>B3</w:t>
            </w:r>
          </w:p>
        </w:tc>
        <w:tc>
          <w:tcPr>
            <w:tcW w:type="dxa" w:w="2520"/>
            <w:vAlign w:val="top"/>
          </w:tcPr>
          <w:p>
            <w:r/>
            <w:r>
              <w:rPr>
                <w:rFonts w:ascii="Aptos" w:hAnsi="Aptos"/>
                <w:b w:val="0"/>
                <w:sz w:val="14"/>
              </w:rPr>
              <w:t>Scalar B estimator</w:t>
            </w:r>
          </w:p>
        </w:tc>
        <w:tc>
          <w:tcPr>
            <w:tcW w:type="dxa" w:w="2520"/>
            <w:vAlign w:val="top"/>
          </w:tcPr>
          <w:p>
            <w:r/>
            <w:r>
              <w:rPr>
                <w:rFonts w:ascii="Aptos" w:hAnsi="Aptos"/>
                <w:b w:val="0"/>
                <w:sz w:val="14"/>
              </w:rPr>
              <w:t>CLOSED ON PAPER</w:t>
            </w:r>
          </w:p>
        </w:tc>
        <w:tc>
          <w:tcPr>
            <w:tcW w:type="dxa" w:w="2520"/>
            <w:vAlign w:val="top"/>
          </w:tcPr>
          <w:p>
            <w:r/>
            <w:r>
              <w:rPr>
                <w:rFonts w:ascii="Aptos" w:hAnsi="Aptos"/>
                <w:b w:val="0"/>
                <w:sz w:val="14"/>
              </w:rPr>
              <w:t>v0.8 Section 6 freezes persistent non-oracular estimator, source reliability, correlation handling, freshness, and transition interface.</w:t>
            </w:r>
          </w:p>
        </w:tc>
      </w:tr>
      <w:tr>
        <w:tc>
          <w:tcPr>
            <w:tcW w:type="dxa" w:w="2520"/>
            <w:vAlign w:val="top"/>
          </w:tcPr>
          <w:p>
            <w:r/>
            <w:r>
              <w:rPr>
                <w:rFonts w:ascii="Aptos" w:hAnsi="Aptos"/>
                <w:b w:val="0"/>
                <w:sz w:val="14"/>
              </w:rPr>
              <w:t>B4</w:t>
            </w:r>
          </w:p>
        </w:tc>
        <w:tc>
          <w:tcPr>
            <w:tcW w:type="dxa" w:w="2520"/>
            <w:vAlign w:val="top"/>
          </w:tcPr>
          <w:p>
            <w:r/>
            <w:r>
              <w:rPr>
                <w:rFonts w:ascii="Aptos" w:hAnsi="Aptos"/>
                <w:b w:val="0"/>
                <w:sz w:val="14"/>
              </w:rPr>
              <w:t>Role-specific scalar objectives</w:t>
            </w:r>
          </w:p>
        </w:tc>
        <w:tc>
          <w:tcPr>
            <w:tcW w:type="dxa" w:w="2520"/>
            <w:vAlign w:val="top"/>
          </w:tcPr>
          <w:p>
            <w:r/>
            <w:r>
              <w:rPr>
                <w:rFonts w:ascii="Aptos" w:hAnsi="Aptos"/>
                <w:b w:val="0"/>
                <w:sz w:val="14"/>
              </w:rPr>
              <w:t>CLOSED ON PAPER</w:t>
            </w:r>
          </w:p>
        </w:tc>
        <w:tc>
          <w:tcPr>
            <w:tcW w:type="dxa" w:w="2520"/>
            <w:vAlign w:val="top"/>
          </w:tcPr>
          <w:p>
            <w:r/>
            <w:r>
              <w:rPr>
                <w:rFonts w:ascii="Aptos" w:hAnsi="Aptos"/>
                <w:b w:val="0"/>
                <w:sz w:val="14"/>
              </w:rPr>
              <w:t>v0.8 Section 7 freezes role dimensions, B0 weights, B1-B4 transformations, risk form, and terminal increment.</w:t>
            </w:r>
          </w:p>
        </w:tc>
      </w:tr>
      <w:tr>
        <w:tc>
          <w:tcPr>
            <w:tcW w:type="dxa" w:w="2520"/>
            <w:vAlign w:val="top"/>
          </w:tcPr>
          <w:p>
            <w:r/>
            <w:r>
              <w:rPr>
                <w:rFonts w:ascii="Aptos" w:hAnsi="Aptos"/>
                <w:b w:val="0"/>
                <w:sz w:val="14"/>
              </w:rPr>
              <w:t>B5</w:t>
            </w:r>
          </w:p>
        </w:tc>
        <w:tc>
          <w:tcPr>
            <w:tcW w:type="dxa" w:w="2520"/>
            <w:vAlign w:val="top"/>
          </w:tcPr>
          <w:p>
            <w:r/>
            <w:r>
              <w:rPr>
                <w:rFonts w:ascii="Aptos" w:hAnsi="Aptos"/>
                <w:b w:val="0"/>
                <w:sz w:val="14"/>
              </w:rPr>
              <w:t>Role-specific local comparator</w:t>
            </w:r>
          </w:p>
        </w:tc>
        <w:tc>
          <w:tcPr>
            <w:tcW w:type="dxa" w:w="2520"/>
            <w:vAlign w:val="top"/>
          </w:tcPr>
          <w:p>
            <w:r/>
            <w:r>
              <w:rPr>
                <w:rFonts w:ascii="Aptos" w:hAnsi="Aptos"/>
                <w:b w:val="0"/>
                <w:sz w:val="14"/>
              </w:rPr>
              <w:t>CLOSED ON PAPER</w:t>
            </w:r>
          </w:p>
        </w:tc>
        <w:tc>
          <w:tcPr>
            <w:tcW w:type="dxa" w:w="2520"/>
            <w:vAlign w:val="top"/>
          </w:tcPr>
          <w:p>
            <w:r/>
            <w:r>
              <w:rPr>
                <w:rFonts w:ascii="Aptos" w:hAnsi="Aptos"/>
                <w:b w:val="0"/>
                <w:sz w:val="14"/>
              </w:rPr>
              <w:t>v0.8 Section 8 freezes C priorities for M/S1/S2/C/L/T; v0.8.1 paper traces show no contradiction.</w:t>
            </w:r>
          </w:p>
        </w:tc>
      </w:tr>
      <w:tr>
        <w:tc>
          <w:tcPr>
            <w:tcW w:type="dxa" w:w="2520"/>
            <w:vAlign w:val="top"/>
          </w:tcPr>
          <w:p>
            <w:r/>
            <w:r>
              <w:rPr>
                <w:rFonts w:ascii="Aptos" w:hAnsi="Aptos"/>
                <w:b w:val="0"/>
                <w:sz w:val="14"/>
              </w:rPr>
              <w:t>B6</w:t>
            </w:r>
          </w:p>
        </w:tc>
        <w:tc>
          <w:tcPr>
            <w:tcW w:type="dxa" w:w="2520"/>
            <w:vAlign w:val="top"/>
          </w:tcPr>
          <w:p>
            <w:r/>
            <w:r>
              <w:rPr>
                <w:rFonts w:ascii="Aptos" w:hAnsi="Aptos"/>
                <w:b w:val="0"/>
                <w:sz w:val="14"/>
              </w:rPr>
              <w:t>Computation/search budgets</w:t>
            </w:r>
          </w:p>
        </w:tc>
        <w:tc>
          <w:tcPr>
            <w:tcW w:type="dxa" w:w="2520"/>
            <w:vAlign w:val="top"/>
          </w:tcPr>
          <w:p>
            <w:r/>
            <w:r>
              <w:rPr>
                <w:rFonts w:ascii="Aptos" w:hAnsi="Aptos"/>
                <w:b w:val="0"/>
                <w:sz w:val="14"/>
              </w:rPr>
              <w:t>PROCEDURE CLOSED / VALUE PENDING</w:t>
            </w:r>
          </w:p>
        </w:tc>
        <w:tc>
          <w:tcPr>
            <w:tcW w:type="dxa" w:w="2520"/>
            <w:vAlign w:val="top"/>
          </w:tcPr>
          <w:p>
            <w:r/>
            <w:r>
              <w:rPr>
                <w:rFonts w:ascii="Aptos" w:hAnsi="Aptos"/>
                <w:b w:val="0"/>
                <w:sz w:val="14"/>
              </w:rPr>
              <w:t>v0.8 Section 9 freezes common calibration procedure. Final measured ceiling requires implementation dry runs and therefore belongs to calibration lock, not paper design.</w:t>
            </w:r>
          </w:p>
        </w:tc>
      </w:tr>
      <w:tr>
        <w:tc>
          <w:tcPr>
            <w:tcW w:type="dxa" w:w="2520"/>
            <w:vAlign w:val="top"/>
          </w:tcPr>
          <w:p>
            <w:r/>
            <w:r>
              <w:rPr>
                <w:rFonts w:ascii="Aptos" w:hAnsi="Aptos"/>
                <w:b w:val="0"/>
                <w:sz w:val="14"/>
              </w:rPr>
              <w:t>B7</w:t>
            </w:r>
          </w:p>
        </w:tc>
        <w:tc>
          <w:tcPr>
            <w:tcW w:type="dxa" w:w="2520"/>
            <w:vAlign w:val="top"/>
          </w:tcPr>
          <w:p>
            <w:r/>
            <w:r>
              <w:rPr>
                <w:rFonts w:ascii="Aptos" w:hAnsi="Aptos"/>
                <w:b w:val="0"/>
                <w:sz w:val="14"/>
              </w:rPr>
              <w:t>Strategic messages</w:t>
            </w:r>
          </w:p>
        </w:tc>
        <w:tc>
          <w:tcPr>
            <w:tcW w:type="dxa" w:w="2520"/>
            <w:vAlign w:val="top"/>
          </w:tcPr>
          <w:p>
            <w:r/>
            <w:r>
              <w:rPr>
                <w:rFonts w:ascii="Aptos" w:hAnsi="Aptos"/>
                <w:b w:val="0"/>
                <w:sz w:val="14"/>
              </w:rPr>
              <w:t>CLOSED</w:t>
            </w:r>
          </w:p>
        </w:tc>
        <w:tc>
          <w:tcPr>
            <w:tcW w:type="dxa" w:w="2520"/>
            <w:vAlign w:val="top"/>
          </w:tcPr>
          <w:p>
            <w:r/>
            <w:r>
              <w:rPr>
                <w:rFonts w:ascii="Aptos" w:hAnsi="Aptos"/>
                <w:b w:val="0"/>
                <w:sz w:val="14"/>
              </w:rPr>
              <w:t>v0.8 Section 10 freezes sender/state policies and probabilities.</w:t>
            </w:r>
          </w:p>
        </w:tc>
      </w:tr>
      <w:tr>
        <w:tc>
          <w:tcPr>
            <w:tcW w:type="dxa" w:w="2520"/>
            <w:vAlign w:val="top"/>
          </w:tcPr>
          <w:p>
            <w:r/>
            <w:r>
              <w:rPr>
                <w:rFonts w:ascii="Aptos" w:hAnsi="Aptos"/>
                <w:b w:val="0"/>
                <w:sz w:val="14"/>
              </w:rPr>
              <w:t>B8</w:t>
            </w:r>
          </w:p>
        </w:tc>
        <w:tc>
          <w:tcPr>
            <w:tcW w:type="dxa" w:w="2520"/>
            <w:vAlign w:val="top"/>
          </w:tcPr>
          <w:p>
            <w:r/>
            <w:r>
              <w:rPr>
                <w:rFonts w:ascii="Aptos" w:hAnsi="Aptos"/>
                <w:b w:val="0"/>
                <w:sz w:val="14"/>
              </w:rPr>
              <w:t>Stochastic distributions/seeds/N</w:t>
            </w:r>
          </w:p>
        </w:tc>
        <w:tc>
          <w:tcPr>
            <w:tcW w:type="dxa" w:w="2520"/>
            <w:vAlign w:val="top"/>
          </w:tcPr>
          <w:p>
            <w:r/>
            <w:r>
              <w:rPr>
                <w:rFonts w:ascii="Aptos" w:hAnsi="Aptos"/>
                <w:b w:val="0"/>
                <w:sz w:val="14"/>
              </w:rPr>
              <w:t>PARTIALLY EMPIRICAL BUT CONTROLLED</w:t>
            </w:r>
          </w:p>
        </w:tc>
        <w:tc>
          <w:tcPr>
            <w:tcW w:type="dxa" w:w="2520"/>
            <w:vAlign w:val="top"/>
          </w:tcPr>
          <w:p>
            <w:r/>
            <w:r>
              <w:rPr>
                <w:rFonts w:ascii="Aptos" w:hAnsi="Aptos"/>
                <w:b w:val="0"/>
                <w:sz w:val="14"/>
              </w:rPr>
              <w:t>Distributions and deterministic seed recipe are frozen; final N is selected by a controller-blind predeclared event-generator rule.</w:t>
            </w:r>
          </w:p>
        </w:tc>
      </w:tr>
      <w:tr>
        <w:tc>
          <w:tcPr>
            <w:tcW w:type="dxa" w:w="2520"/>
            <w:vAlign w:val="top"/>
          </w:tcPr>
          <w:p>
            <w:r/>
            <w:r>
              <w:rPr>
                <w:rFonts w:ascii="Aptos" w:hAnsi="Aptos"/>
                <w:b w:val="0"/>
                <w:sz w:val="14"/>
              </w:rPr>
              <w:t>B9</w:t>
            </w:r>
          </w:p>
        </w:tc>
        <w:tc>
          <w:tcPr>
            <w:tcW w:type="dxa" w:w="2520"/>
            <w:vAlign w:val="top"/>
          </w:tcPr>
          <w:p>
            <w:r/>
            <w:r>
              <w:rPr>
                <w:rFonts w:ascii="Aptos" w:hAnsi="Aptos"/>
                <w:b w:val="0"/>
                <w:sz w:val="14"/>
              </w:rPr>
              <w:t>Inspection/qualification evidence</w:t>
            </w:r>
          </w:p>
        </w:tc>
        <w:tc>
          <w:tcPr>
            <w:tcW w:type="dxa" w:w="2520"/>
            <w:vAlign w:val="top"/>
          </w:tcPr>
          <w:p>
            <w:r/>
            <w:r>
              <w:rPr>
                <w:rFonts w:ascii="Aptos" w:hAnsi="Aptos"/>
                <w:b w:val="0"/>
                <w:sz w:val="14"/>
              </w:rPr>
              <w:t>CLOSED</w:t>
            </w:r>
          </w:p>
        </w:tc>
        <w:tc>
          <w:tcPr>
            <w:tcW w:type="dxa" w:w="2520"/>
            <w:vAlign w:val="top"/>
          </w:tcPr>
          <w:p>
            <w:r/>
            <w:r>
              <w:rPr>
                <w:rFonts w:ascii="Aptos" w:hAnsi="Aptos"/>
                <w:b w:val="0"/>
                <w:sz w:val="14"/>
              </w:rPr>
              <w:t>v0.8 Section 12 freezes sampling, sensitivity/specificity, qualification sample/failure rules, and timing.</w:t>
            </w:r>
          </w:p>
        </w:tc>
      </w:tr>
      <w:tr>
        <w:tc>
          <w:tcPr>
            <w:tcW w:type="dxa" w:w="2520"/>
            <w:vAlign w:val="top"/>
          </w:tcPr>
          <w:p>
            <w:r/>
            <w:r>
              <w:rPr>
                <w:rFonts w:ascii="Aptos" w:hAnsi="Aptos"/>
                <w:b w:val="0"/>
                <w:sz w:val="14"/>
              </w:rPr>
              <w:t>B10</w:t>
            </w:r>
          </w:p>
        </w:tc>
        <w:tc>
          <w:tcPr>
            <w:tcW w:type="dxa" w:w="2520"/>
            <w:vAlign w:val="top"/>
          </w:tcPr>
          <w:p>
            <w:r/>
            <w:r>
              <w:rPr>
                <w:rFonts w:ascii="Aptos" w:hAnsi="Aptos"/>
                <w:b w:val="0"/>
                <w:sz w:val="14"/>
              </w:rPr>
              <w:t>Horizon/conditional grammar</w:t>
            </w:r>
          </w:p>
        </w:tc>
        <w:tc>
          <w:tcPr>
            <w:tcW w:type="dxa" w:w="2520"/>
            <w:vAlign w:val="top"/>
          </w:tcPr>
          <w:p>
            <w:r/>
            <w:r>
              <w:rPr>
                <w:rFonts w:ascii="Aptos" w:hAnsi="Aptos"/>
                <w:b w:val="0"/>
                <w:sz w:val="14"/>
              </w:rPr>
              <w:t>CLOSED</w:t>
            </w:r>
          </w:p>
        </w:tc>
        <w:tc>
          <w:tcPr>
            <w:tcW w:type="dxa" w:w="2520"/>
            <w:vAlign w:val="top"/>
          </w:tcPr>
          <w:p>
            <w:r/>
            <w:r>
              <w:rPr>
                <w:rFonts w:ascii="Aptos" w:hAnsi="Aptos"/>
                <w:b w:val="0"/>
                <w:sz w:val="14"/>
              </w:rPr>
              <w:t>v0.8 Section 5 freezes identical four-transition A/B planning and current-period root-action submission.</w:t>
            </w:r>
          </w:p>
        </w:tc>
      </w:tr>
      <w:tr>
        <w:tc>
          <w:tcPr>
            <w:tcW w:type="dxa" w:w="2520"/>
            <w:vAlign w:val="top"/>
          </w:tcPr>
          <w:p>
            <w:r/>
            <w:r>
              <w:rPr>
                <w:rFonts w:ascii="Aptos" w:hAnsi="Aptos"/>
                <w:b w:val="0"/>
                <w:sz w:val="14"/>
              </w:rPr>
              <w:t>B11</w:t>
            </w:r>
          </w:p>
        </w:tc>
        <w:tc>
          <w:tcPr>
            <w:tcW w:type="dxa" w:w="2520"/>
            <w:vAlign w:val="top"/>
          </w:tcPr>
          <w:p>
            <w:r/>
            <w:r>
              <w:rPr>
                <w:rFonts w:ascii="Aptos" w:hAnsi="Aptos"/>
                <w:b w:val="0"/>
                <w:sz w:val="14"/>
              </w:rPr>
              <w:t>Focal-M counterpart policy</w:t>
            </w:r>
          </w:p>
        </w:tc>
        <w:tc>
          <w:tcPr>
            <w:tcW w:type="dxa" w:w="2520"/>
            <w:vAlign w:val="top"/>
          </w:tcPr>
          <w:p>
            <w:r/>
            <w:r>
              <w:rPr>
                <w:rFonts w:ascii="Aptos" w:hAnsi="Aptos"/>
                <w:b w:val="0"/>
                <w:sz w:val="14"/>
              </w:rPr>
              <w:t>CLOSED</w:t>
            </w:r>
          </w:p>
        </w:tc>
        <w:tc>
          <w:tcPr>
            <w:tcW w:type="dxa" w:w="2520"/>
            <w:vAlign w:val="top"/>
          </w:tcPr>
          <w:p>
            <w:r/>
            <w:r>
              <w:rPr>
                <w:rFonts w:ascii="Aptos" w:hAnsi="Aptos"/>
                <w:b w:val="0"/>
                <w:sz w:val="14"/>
              </w:rPr>
              <w:t>v0.8 Section 17 freezes common counterpart policy independent of M regime.</w:t>
            </w:r>
          </w:p>
        </w:tc>
      </w:tr>
      <w:tr>
        <w:tc>
          <w:tcPr>
            <w:tcW w:type="dxa" w:w="2520"/>
            <w:vAlign w:val="top"/>
          </w:tcPr>
          <w:p>
            <w:r/>
            <w:r>
              <w:rPr>
                <w:rFonts w:ascii="Aptos" w:hAnsi="Aptos"/>
                <w:b w:val="0"/>
                <w:sz w:val="14"/>
              </w:rPr>
              <w:t>B12</w:t>
            </w:r>
          </w:p>
        </w:tc>
        <w:tc>
          <w:tcPr>
            <w:tcW w:type="dxa" w:w="2520"/>
            <w:vAlign w:val="top"/>
          </w:tcPr>
          <w:p>
            <w:r/>
            <w:r>
              <w:rPr>
                <w:rFonts w:ascii="Aptos" w:hAnsi="Aptos"/>
                <w:b w:val="0"/>
                <w:sz w:val="14"/>
              </w:rPr>
              <w:t>Oracle protocol</w:t>
            </w:r>
          </w:p>
        </w:tc>
        <w:tc>
          <w:tcPr>
            <w:tcW w:type="dxa" w:w="2520"/>
            <w:vAlign w:val="top"/>
          </w:tcPr>
          <w:p>
            <w:r/>
            <w:r>
              <w:rPr>
                <w:rFonts w:ascii="Aptos" w:hAnsi="Aptos"/>
                <w:b w:val="0"/>
                <w:sz w:val="14"/>
              </w:rPr>
              <w:t>CLOSED ON PAPER</w:t>
            </w:r>
          </w:p>
        </w:tc>
        <w:tc>
          <w:tcPr>
            <w:tcW w:type="dxa" w:w="2520"/>
            <w:vAlign w:val="top"/>
          </w:tcPr>
          <w:p>
            <w:r/>
            <w:r>
              <w:rPr>
                <w:rFonts w:ascii="Aptos" w:hAnsi="Aptos"/>
                <w:b w:val="0"/>
                <w:sz w:val="14"/>
              </w:rPr>
              <w:t>v0.8 Section 18 freezes O1/O2 horizon/budget and forbids infeasibility claims without exhaustive/completeness support.</w:t>
            </w:r>
          </w:p>
        </w:tc>
      </w:tr>
    </w:tbl>
    <w:p>
      <w:pPr>
        <w:spacing w:after="20"/>
      </w:pPr>
    </w:p>
    <w:p>
      <w:pPr>
        <w:pStyle w:val="Heading1"/>
      </w:pPr>
      <w:r>
        <w:t>4. Closure of Hidden Findings H1-H9</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5"/>
              </w:rPr>
              <w:t>ID</w:t>
            </w:r>
          </w:p>
        </w:tc>
        <w:tc>
          <w:tcPr>
            <w:tcW w:type="dxa" w:w="3360"/>
            <w:vAlign w:val="top"/>
            <w:shd w:fill="D9E2F3"/>
          </w:tcPr>
          <w:p>
            <w:r/>
            <w:r>
              <w:rPr>
                <w:rFonts w:ascii="Aptos" w:hAnsi="Aptos"/>
                <w:b/>
                <w:sz w:val="15"/>
              </w:rPr>
              <w:t>Status</w:t>
            </w:r>
          </w:p>
        </w:tc>
        <w:tc>
          <w:tcPr>
            <w:tcW w:type="dxa" w:w="3360"/>
            <w:vAlign w:val="top"/>
            <w:shd w:fill="D9E2F3"/>
          </w:tcPr>
          <w:p>
            <w:r/>
            <w:r>
              <w:rPr>
                <w:rFonts w:ascii="Aptos" w:hAnsi="Aptos"/>
                <w:b/>
                <w:sz w:val="15"/>
              </w:rPr>
              <w:t>Resolution</w:t>
            </w:r>
          </w:p>
        </w:tc>
      </w:tr>
      <w:tr>
        <w:tc>
          <w:tcPr>
            <w:tcW w:type="dxa" w:w="3360"/>
            <w:vAlign w:val="top"/>
          </w:tcPr>
          <w:p>
            <w:r/>
            <w:r>
              <w:rPr>
                <w:rFonts w:ascii="Aptos" w:hAnsi="Aptos"/>
                <w:b w:val="0"/>
                <w:sz w:val="14"/>
              </w:rPr>
              <w:t>H1</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Emergency R evidence trigger frozen; no controller/evaluator projection leakage.</w:t>
            </w:r>
          </w:p>
        </w:tc>
      </w:tr>
      <w:tr>
        <w:tc>
          <w:tcPr>
            <w:tcW w:type="dxa" w:w="3360"/>
            <w:vAlign w:val="top"/>
          </w:tcPr>
          <w:p>
            <w:r/>
            <w:r>
              <w:rPr>
                <w:rFonts w:ascii="Aptos" w:hAnsi="Aptos"/>
                <w:b w:val="0"/>
                <w:sz w:val="14"/>
              </w:rPr>
              <w:t>H2</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Emergency rule existence public at t0; activation visible only by authoritative R notice.</w:t>
            </w:r>
          </w:p>
        </w:tc>
      </w:tr>
      <w:tr>
        <w:tc>
          <w:tcPr>
            <w:tcW w:type="dxa" w:w="3360"/>
            <w:vAlign w:val="top"/>
          </w:tcPr>
          <w:p>
            <w:r/>
            <w:r>
              <w:rPr>
                <w:rFonts w:ascii="Aptos" w:hAnsi="Aptos"/>
                <w:b w:val="0"/>
                <w:sz w:val="14"/>
              </w:rPr>
              <w:t>H3</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S2 knows period-6 opportunity; M learns only through legitimate disclosure/evidence; period-7 deadline frozen.</w:t>
            </w:r>
          </w:p>
        </w:tc>
      </w:tr>
      <w:tr>
        <w:tc>
          <w:tcPr>
            <w:tcW w:type="dxa" w:w="3360"/>
            <w:vAlign w:val="top"/>
          </w:tcPr>
          <w:p>
            <w:r/>
            <w:r>
              <w:rPr>
                <w:rFonts w:ascii="Aptos" w:hAnsi="Aptos"/>
                <w:b w:val="0"/>
                <w:sz w:val="14"/>
              </w:rPr>
              <w:t>H4</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Externally directed proposals consume proposal slots and controller computation.</w:t>
            </w:r>
          </w:p>
        </w:tc>
      </w:tr>
      <w:tr>
        <w:tc>
          <w:tcPr>
            <w:tcW w:type="dxa" w:w="3360"/>
            <w:vAlign w:val="top"/>
          </w:tcPr>
          <w:p>
            <w:r/>
            <w:r>
              <w:rPr>
                <w:rFonts w:ascii="Aptos" w:hAnsi="Aptos"/>
                <w:b w:val="0"/>
                <w:sz w:val="14"/>
              </w:rPr>
              <w:t>H5</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No same-period counteroffer loop in primary benchmark.</w:t>
            </w:r>
          </w:p>
        </w:tc>
      </w:tr>
      <w:tr>
        <w:tc>
          <w:tcPr>
            <w:tcW w:type="dxa" w:w="3360"/>
            <w:vAlign w:val="top"/>
          </w:tcPr>
          <w:p>
            <w:r/>
            <w:r>
              <w:rPr>
                <w:rFonts w:ascii="Aptos" w:hAnsi="Aptos"/>
                <w:b w:val="0"/>
                <w:sz w:val="14"/>
              </w:rPr>
              <w:t>H6</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C termination ends the primary AM-40 experiment after delayed-event/ledger closure; no alternate market.</w:t>
            </w:r>
          </w:p>
        </w:tc>
      </w:tr>
      <w:tr>
        <w:tc>
          <w:tcPr>
            <w:tcW w:type="dxa" w:w="3360"/>
            <w:vAlign w:val="top"/>
          </w:tcPr>
          <w:p>
            <w:r/>
            <w:r>
              <w:rPr>
                <w:rFonts w:ascii="Aptos" w:hAnsi="Aptos"/>
                <w:b w:val="0"/>
                <w:sz w:val="14"/>
              </w:rPr>
              <w:t>H7</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Ordinary operating cost separated from incremental adaptation cost.</w:t>
            </w:r>
          </w:p>
        </w:tc>
      </w:tr>
      <w:tr>
        <w:tc>
          <w:tcPr>
            <w:tcW w:type="dxa" w:w="3360"/>
            <w:vAlign w:val="top"/>
          </w:tcPr>
          <w:p>
            <w:r/>
            <w:r>
              <w:rPr>
                <w:rFonts w:ascii="Aptos" w:hAnsi="Aptos"/>
                <w:b w:val="0"/>
                <w:sz w:val="14"/>
              </w:rPr>
              <w:t>H8</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Degraded stabilization and overlapping-cascade rules frozen.</w:t>
            </w:r>
          </w:p>
        </w:tc>
      </w:tr>
      <w:tr>
        <w:tc>
          <w:tcPr>
            <w:tcW w:type="dxa" w:w="3360"/>
            <w:vAlign w:val="top"/>
          </w:tcPr>
          <w:p>
            <w:r/>
            <w:r>
              <w:rPr>
                <w:rFonts w:ascii="Aptos" w:hAnsi="Aptos"/>
                <w:b w:val="0"/>
                <w:sz w:val="14"/>
              </w:rPr>
              <w:t>H9</w:t>
            </w:r>
          </w:p>
        </w:tc>
        <w:tc>
          <w:tcPr>
            <w:tcW w:type="dxa" w:w="3360"/>
            <w:vAlign w:val="top"/>
          </w:tcPr>
          <w:p>
            <w:r/>
            <w:r>
              <w:rPr>
                <w:rFonts w:ascii="Aptos" w:hAnsi="Aptos"/>
                <w:b w:val="0"/>
                <w:sz w:val="14"/>
              </w:rPr>
              <w:t>CLOSED</w:t>
            </w:r>
          </w:p>
        </w:tc>
        <w:tc>
          <w:tcPr>
            <w:tcW w:type="dxa" w:w="3360"/>
            <w:vAlign w:val="top"/>
          </w:tcPr>
          <w:p>
            <w:r/>
            <w:r>
              <w:rPr>
                <w:rFonts w:ascii="Aptos" w:hAnsi="Aptos"/>
                <w:b w:val="0"/>
                <w:sz w:val="14"/>
              </w:rPr>
              <w:t>Primary summaries, paired analysis, bootstrap intervals, secondary tests, multiplicity, and blinding workflow frozen.</w:t>
            </w:r>
          </w:p>
        </w:tc>
      </w:tr>
    </w:tbl>
    <w:p>
      <w:pPr>
        <w:spacing w:after="20"/>
      </w:pPr>
    </w:p>
    <w:p>
      <w:pPr>
        <w:pStyle w:val="Heading1"/>
      </w:pPr>
      <w:r>
        <w:t>5. Closure of Cross-Document Findings C1-C10</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ID</w:t>
            </w:r>
          </w:p>
        </w:tc>
        <w:tc>
          <w:tcPr>
            <w:tcW w:type="dxa" w:w="5040"/>
            <w:vAlign w:val="top"/>
            <w:shd w:fill="D9E2F3"/>
          </w:tcPr>
          <w:p>
            <w:r/>
            <w:r>
              <w:rPr>
                <w:rFonts w:ascii="Aptos" w:hAnsi="Aptos"/>
                <w:b/>
                <w:sz w:val="15"/>
              </w:rPr>
              <w:t>Closure</w:t>
            </w:r>
          </w:p>
        </w:tc>
      </w:tr>
      <w:tr>
        <w:tc>
          <w:tcPr>
            <w:tcW w:type="dxa" w:w="5040"/>
            <w:vAlign w:val="top"/>
          </w:tcPr>
          <w:p>
            <w:r/>
            <w:r>
              <w:rPr>
                <w:rFonts w:ascii="Aptos" w:hAnsi="Aptos"/>
                <w:b w:val="0"/>
                <w:sz w:val="14"/>
              </w:rPr>
              <w:t>C1</w:t>
            </w:r>
          </w:p>
        </w:tc>
        <w:tc>
          <w:tcPr>
            <w:tcW w:type="dxa" w:w="5040"/>
            <w:vAlign w:val="top"/>
          </w:tcPr>
          <w:p>
            <w:r/>
            <w:r>
              <w:rPr>
                <w:rFonts w:ascii="Aptos" w:hAnsi="Aptos"/>
                <w:b w:val="0"/>
                <w:sz w:val="14"/>
              </w:rPr>
              <w:t>Later period-indexed deterministic challenge skeleton explicitly supersedes the early twelve-stage sketch.</w:t>
            </w:r>
          </w:p>
        </w:tc>
      </w:tr>
      <w:tr>
        <w:tc>
          <w:tcPr>
            <w:tcW w:type="dxa" w:w="5040"/>
            <w:vAlign w:val="top"/>
          </w:tcPr>
          <w:p>
            <w:r/>
            <w:r>
              <w:rPr>
                <w:rFonts w:ascii="Aptos" w:hAnsi="Aptos"/>
                <w:b w:val="0"/>
                <w:sz w:val="14"/>
              </w:rPr>
              <w:t>C2</w:t>
            </w:r>
          </w:p>
        </w:tc>
        <w:tc>
          <w:tcPr>
            <w:tcW w:type="dxa" w:w="5040"/>
            <w:vAlign w:val="top"/>
          </w:tcPr>
          <w:p>
            <w:r/>
            <w:r>
              <w:rPr>
                <w:rFonts w:ascii="Aptos" w:hAnsi="Aptos"/>
                <w:b w:val="0"/>
                <w:sz w:val="14"/>
              </w:rPr>
              <w:t>v0.5/v0.8 homogeneous primary population plus focal-M sensitivity controls.</w:t>
            </w:r>
          </w:p>
        </w:tc>
      </w:tr>
      <w:tr>
        <w:tc>
          <w:tcPr>
            <w:tcW w:type="dxa" w:w="5040"/>
            <w:vAlign w:val="top"/>
          </w:tcPr>
          <w:p>
            <w:r/>
            <w:r>
              <w:rPr>
                <w:rFonts w:ascii="Aptos" w:hAnsi="Aptos"/>
                <w:b w:val="0"/>
                <w:sz w:val="14"/>
              </w:rPr>
              <w:t>C3</w:t>
            </w:r>
          </w:p>
        </w:tc>
        <w:tc>
          <w:tcPr>
            <w:tcW w:type="dxa" w:w="5040"/>
            <w:vAlign w:val="top"/>
          </w:tcPr>
          <w:p>
            <w:r/>
            <w:r>
              <w:rPr>
                <w:rFonts w:ascii="Aptos" w:hAnsi="Aptos"/>
                <w:b w:val="0"/>
                <w:sz w:val="14"/>
              </w:rPr>
              <w:t>Evidence parity is defined before controller-specific adaptation/compression.</w:t>
            </w:r>
          </w:p>
        </w:tc>
      </w:tr>
      <w:tr>
        <w:tc>
          <w:tcPr>
            <w:tcW w:type="dxa" w:w="5040"/>
            <w:vAlign w:val="top"/>
          </w:tcPr>
          <w:p>
            <w:r/>
            <w:r>
              <w:rPr>
                <w:rFonts w:ascii="Aptos" w:hAnsi="Aptos"/>
                <w:b w:val="0"/>
                <w:sz w:val="14"/>
              </w:rPr>
              <w:t>C4</w:t>
            </w:r>
          </w:p>
        </w:tc>
        <w:tc>
          <w:tcPr>
            <w:tcW w:type="dxa" w:w="5040"/>
            <w:vAlign w:val="top"/>
          </w:tcPr>
          <w:p>
            <w:r/>
            <w:r>
              <w:rPr>
                <w:rFonts w:ascii="Aptos" w:hAnsi="Aptos"/>
                <w:b w:val="0"/>
                <w:sz w:val="14"/>
              </w:rPr>
              <w:t>Different history representations are accepted as architecture differences; raw history parity and compute logging remain mandatory.</w:t>
            </w:r>
          </w:p>
        </w:tc>
      </w:tr>
      <w:tr>
        <w:tc>
          <w:tcPr>
            <w:tcW w:type="dxa" w:w="5040"/>
            <w:vAlign w:val="top"/>
          </w:tcPr>
          <w:p>
            <w:r/>
            <w:r>
              <w:rPr>
                <w:rFonts w:ascii="Aptos" w:hAnsi="Aptos"/>
                <w:b w:val="0"/>
                <w:sz w:val="14"/>
              </w:rPr>
              <w:t>C5</w:t>
            </w:r>
          </w:p>
        </w:tc>
        <w:tc>
          <w:tcPr>
            <w:tcW w:type="dxa" w:w="5040"/>
            <w:vAlign w:val="top"/>
          </w:tcPr>
          <w:p>
            <w:r/>
            <w:r>
              <w:rPr>
                <w:rFonts w:ascii="Aptos" w:hAnsi="Aptos"/>
                <w:b w:val="0"/>
                <w:sz w:val="14"/>
              </w:rPr>
              <w:t>Evaluator recovery predicate remains controller-hidden.</w:t>
            </w:r>
          </w:p>
        </w:tc>
      </w:tr>
      <w:tr>
        <w:tc>
          <w:tcPr>
            <w:tcW w:type="dxa" w:w="5040"/>
            <w:vAlign w:val="top"/>
          </w:tcPr>
          <w:p>
            <w:r/>
            <w:r>
              <w:rPr>
                <w:rFonts w:ascii="Aptos" w:hAnsi="Aptos"/>
                <w:b w:val="0"/>
                <w:sz w:val="14"/>
              </w:rPr>
              <w:t>C6</w:t>
            </w:r>
          </w:p>
        </w:tc>
        <w:tc>
          <w:tcPr>
            <w:tcW w:type="dxa" w:w="5040"/>
            <w:vAlign w:val="top"/>
          </w:tcPr>
          <w:p>
            <w:r/>
            <w:r>
              <w:rPr>
                <w:rFonts w:ascii="Aptos" w:hAnsi="Aptos"/>
                <w:b w:val="0"/>
                <w:sz w:val="14"/>
              </w:rPr>
              <w:t>0-100 PP coordinates are domain-local and non-commensurable across domains.</w:t>
            </w:r>
          </w:p>
        </w:tc>
      </w:tr>
      <w:tr>
        <w:tc>
          <w:tcPr>
            <w:tcW w:type="dxa" w:w="5040"/>
            <w:vAlign w:val="top"/>
          </w:tcPr>
          <w:p>
            <w:r/>
            <w:r>
              <w:rPr>
                <w:rFonts w:ascii="Aptos" w:hAnsi="Aptos"/>
                <w:b w:val="0"/>
                <w:sz w:val="14"/>
              </w:rPr>
              <w:t>C7</w:t>
            </w:r>
          </w:p>
        </w:tc>
        <w:tc>
          <w:tcPr>
            <w:tcW w:type="dxa" w:w="5040"/>
            <w:vAlign w:val="top"/>
          </w:tcPr>
          <w:p>
            <w:r/>
            <w:r>
              <w:rPr>
                <w:rFonts w:ascii="Aptos" w:hAnsi="Aptos"/>
                <w:b w:val="0"/>
                <w:sz w:val="14"/>
              </w:rPr>
              <w:t>Common action grammar precedes regime-specific pruning/search.</w:t>
            </w:r>
          </w:p>
        </w:tc>
      </w:tr>
      <w:tr>
        <w:tc>
          <w:tcPr>
            <w:tcW w:type="dxa" w:w="5040"/>
            <w:vAlign w:val="top"/>
          </w:tcPr>
          <w:p>
            <w:r/>
            <w:r>
              <w:rPr>
                <w:rFonts w:ascii="Aptos" w:hAnsi="Aptos"/>
                <w:b w:val="0"/>
                <w:sz w:val="14"/>
              </w:rPr>
              <w:t>C8</w:t>
            </w:r>
          </w:p>
        </w:tc>
        <w:tc>
          <w:tcPr>
            <w:tcW w:type="dxa" w:w="5040"/>
            <w:vAlign w:val="top"/>
          </w:tcPr>
          <w:p>
            <w:r/>
            <w:r>
              <w:rPr>
                <w:rFonts w:ascii="Aptos" w:hAnsi="Aptos"/>
                <w:b w:val="0"/>
                <w:sz w:val="14"/>
              </w:rPr>
              <w:t>B's scalar objective remains internal to B, not a benchmark outcome.</w:t>
            </w:r>
          </w:p>
        </w:tc>
      </w:tr>
      <w:tr>
        <w:tc>
          <w:tcPr>
            <w:tcW w:type="dxa" w:w="5040"/>
            <w:vAlign w:val="top"/>
          </w:tcPr>
          <w:p>
            <w:r/>
            <w:r>
              <w:rPr>
                <w:rFonts w:ascii="Aptos" w:hAnsi="Aptos"/>
                <w:b w:val="0"/>
                <w:sz w:val="14"/>
              </w:rPr>
              <w:t>C9</w:t>
            </w:r>
          </w:p>
        </w:tc>
        <w:tc>
          <w:tcPr>
            <w:tcW w:type="dxa" w:w="5040"/>
            <w:vAlign w:val="top"/>
          </w:tcPr>
          <w:p>
            <w:r/>
            <w:r>
              <w:rPr>
                <w:rFonts w:ascii="Aptos" w:hAnsi="Aptos"/>
                <w:b w:val="0"/>
                <w:sz w:val="14"/>
              </w:rPr>
              <w:t>Strategic messages are bounded endogenous evidence/actions and never rewrite actual state.</w:t>
            </w:r>
          </w:p>
        </w:tc>
      </w:tr>
      <w:tr>
        <w:tc>
          <w:tcPr>
            <w:tcW w:type="dxa" w:w="5040"/>
            <w:vAlign w:val="top"/>
          </w:tcPr>
          <w:p>
            <w:r/>
            <w:r>
              <w:rPr>
                <w:rFonts w:ascii="Aptos" w:hAnsi="Aptos"/>
                <w:b w:val="0"/>
                <w:sz w:val="14"/>
              </w:rPr>
              <w:t>C10</w:t>
            </w:r>
          </w:p>
        </w:tc>
        <w:tc>
          <w:tcPr>
            <w:tcW w:type="dxa" w:w="5040"/>
            <w:vAlign w:val="top"/>
          </w:tcPr>
          <w:p>
            <w:r/>
            <w:r>
              <w:rPr>
                <w:rFonts w:ascii="Aptos" w:hAnsi="Aptos"/>
                <w:b w:val="0"/>
                <w:sz w:val="14"/>
              </w:rPr>
              <w:t>Benchmark parameters remain fixtures unless separately identified as canonical authority.</w:t>
            </w:r>
          </w:p>
        </w:tc>
      </w:tr>
    </w:tbl>
    <w:p>
      <w:pPr>
        <w:spacing w:after="20"/>
      </w:pPr>
    </w:p>
    <w:p>
      <w:pPr>
        <w:pStyle w:val="Heading1"/>
      </w:pPr>
      <w:r>
        <w:t>6. Manual Trace Closure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5"/>
              </w:rPr>
              <w:t>Trace family</w:t>
            </w:r>
          </w:p>
        </w:tc>
        <w:tc>
          <w:tcPr>
            <w:tcW w:type="dxa" w:w="3360"/>
            <w:vAlign w:val="top"/>
            <w:shd w:fill="D9E2F3"/>
          </w:tcPr>
          <w:p>
            <w:r/>
            <w:r>
              <w:rPr>
                <w:rFonts w:ascii="Aptos" w:hAnsi="Aptos"/>
                <w:b/>
                <w:sz w:val="15"/>
              </w:rPr>
              <w:t>Result</w:t>
            </w:r>
          </w:p>
        </w:tc>
        <w:tc>
          <w:tcPr>
            <w:tcW w:type="dxa" w:w="3360"/>
            <w:vAlign w:val="top"/>
            <w:shd w:fill="D9E2F3"/>
          </w:tcPr>
          <w:p>
            <w:r/>
            <w:r>
              <w:rPr>
                <w:rFonts w:ascii="Aptos" w:hAnsi="Aptos"/>
                <w:b/>
                <w:sz w:val="15"/>
              </w:rPr>
              <w:t>Closure implication</w:t>
            </w:r>
          </w:p>
        </w:tc>
      </w:tr>
      <w:tr>
        <w:tc>
          <w:tcPr>
            <w:tcW w:type="dxa" w:w="3360"/>
            <w:vAlign w:val="top"/>
          </w:tcPr>
          <w:p>
            <w:r/>
            <w:r>
              <w:rPr>
                <w:rFonts w:ascii="Aptos" w:hAnsi="Aptos"/>
                <w:b w:val="0"/>
                <w:sz w:val="14"/>
              </w:rPr>
              <w:t>T1-T4: calm/information/memory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No built-in requirement that PV-PP adapt gratuitously; misinformation and stale memory can harm it.</w:t>
            </w:r>
          </w:p>
        </w:tc>
      </w:tr>
      <w:tr>
        <w:tc>
          <w:tcPr>
            <w:tcW w:type="dxa" w:w="3360"/>
            <w:vAlign w:val="top"/>
          </w:tcPr>
          <w:p>
            <w:r/>
            <w:r>
              <w:rPr>
                <w:rFonts w:ascii="Aptos" w:hAnsi="Aptos"/>
                <w:b w:val="0"/>
                <w:sz w:val="14"/>
              </w:rPr>
              <w:t>T5-T6: qualification/rework</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Resource encumbrance, evidence timing, immediate benefit, and delayed harm are representable without contradiction.</w:t>
            </w:r>
          </w:p>
        </w:tc>
      </w:tr>
      <w:tr>
        <w:tc>
          <w:tcPr>
            <w:tcW w:type="dxa" w:w="3360"/>
            <w:vAlign w:val="top"/>
          </w:tcPr>
          <w:p>
            <w:r/>
            <w:r>
              <w:rPr>
                <w:rFonts w:ascii="Aptos" w:hAnsi="Aptos"/>
                <w:b w:val="0"/>
                <w:sz w:val="14"/>
              </w:rPr>
              <w:t>T7: no adequate policy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Canonical fallback gives lawful PV-PP behavior without scalar leakage or new operator.</w:t>
            </w:r>
          </w:p>
        </w:tc>
      </w:tr>
      <w:tr>
        <w:tc>
          <w:tcPr>
            <w:tcW w:type="dxa" w:w="3360"/>
            <w:vAlign w:val="top"/>
          </w:tcPr>
          <w:p>
            <w:r/>
            <w:r>
              <w:rPr>
                <w:rFonts w:ascii="Aptos" w:hAnsi="Aptos"/>
                <w:b w:val="0"/>
                <w:sz w:val="14"/>
              </w:rPr>
              <w:t>T8-T9: opportunity/proposals</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Option closure and joint acceptance are time-consistent and do not assume counterpart cooperation.</w:t>
            </w:r>
          </w:p>
        </w:tc>
      </w:tr>
      <w:tr>
        <w:tc>
          <w:tcPr>
            <w:tcW w:type="dxa" w:w="3360"/>
            <w:vAlign w:val="top"/>
          </w:tcPr>
          <w:p>
            <w:r/>
            <w:r>
              <w:rPr>
                <w:rFonts w:ascii="Aptos" w:hAnsi="Aptos"/>
                <w:b w:val="0"/>
                <w:sz w:val="14"/>
              </w:rPr>
              <w:t>T10: world infeasibility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Oracle cannot convert non-exhaustive failure to find recovery into proof.</w:t>
            </w:r>
          </w:p>
        </w:tc>
      </w:tr>
      <w:tr>
        <w:tc>
          <w:tcPr>
            <w:tcW w:type="dxa" w:w="3360"/>
            <w:vAlign w:val="top"/>
          </w:tcPr>
          <w:p>
            <w:r/>
            <w:r>
              <w:rPr>
                <w:rFonts w:ascii="Aptos" w:hAnsi="Aptos"/>
                <w:b w:val="0"/>
                <w:sz w:val="14"/>
              </w:rPr>
              <w:t>T11: scalar sensitivity</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Comparator weighting can change action without changing evidence/action space, preserving a meaningful sensitivity panel.</w:t>
            </w:r>
          </w:p>
        </w:tc>
      </w:tr>
      <w:tr>
        <w:tc>
          <w:tcPr>
            <w:tcW w:type="dxa" w:w="3360"/>
            <w:vAlign w:val="top"/>
          </w:tcPr>
          <w:p>
            <w:r/>
            <w:r>
              <w:rPr>
                <w:rFonts w:ascii="Aptos" w:hAnsi="Aptos"/>
                <w:b w:val="0"/>
                <w:sz w:val="14"/>
              </w:rPr>
              <w:t>T12: firewall</w:t>
            </w:r>
          </w:p>
        </w:tc>
        <w:tc>
          <w:tcPr>
            <w:tcW w:type="dxa" w:w="3360"/>
            <w:vAlign w:val="top"/>
          </w:tcPr>
          <w:p>
            <w:r/>
            <w:r>
              <w:rPr>
                <w:rFonts w:ascii="Aptos" w:hAnsi="Aptos"/>
                <w:b w:val="0"/>
                <w:sz w:val="14"/>
              </w:rPr>
              <w:t>PASS</w:t>
            </w:r>
          </w:p>
        </w:tc>
        <w:tc>
          <w:tcPr>
            <w:tcW w:type="dxa" w:w="3360"/>
            <w:vAlign w:val="top"/>
          </w:tcPr>
          <w:p>
            <w:r/>
            <w:r>
              <w:rPr>
                <w:rFonts w:ascii="Aptos" w:hAnsi="Aptos"/>
                <w:b w:val="0"/>
                <w:sz w:val="14"/>
              </w:rPr>
              <w:t>Homogeneous regime does not imply centralized private-state sharing.</w:t>
            </w:r>
          </w:p>
        </w:tc>
      </w:tr>
    </w:tbl>
    <w:p>
      <w:pPr>
        <w:spacing w:after="20"/>
      </w:pPr>
    </w:p>
    <w:p>
      <w:pPr>
        <w:pStyle w:val="Heading1"/>
      </w:pPr>
      <w:r>
        <w:t>7. Structural-Favoritism Re-Audit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Risk</w:t>
            </w:r>
          </w:p>
        </w:tc>
        <w:tc>
          <w:tcPr>
            <w:tcW w:type="dxa" w:w="5040"/>
            <w:vAlign w:val="top"/>
            <w:shd w:fill="D9E2F3"/>
          </w:tcPr>
          <w:p>
            <w:r/>
            <w:r>
              <w:rPr>
                <w:rFonts w:ascii="Aptos" w:hAnsi="Aptos"/>
                <w:b/>
                <w:sz w:val="15"/>
              </w:rPr>
              <w:t>Closure judgment</w:t>
            </w:r>
          </w:p>
        </w:tc>
      </w:tr>
      <w:tr>
        <w:tc>
          <w:tcPr>
            <w:tcW w:type="dxa" w:w="5040"/>
            <w:vAlign w:val="top"/>
          </w:tcPr>
          <w:p>
            <w:r/>
            <w:r>
              <w:rPr>
                <w:rFonts w:ascii="Aptos" w:hAnsi="Aptos"/>
                <w:b w:val="0"/>
                <w:sz w:val="14"/>
              </w:rPr>
              <w:t>PV-PP receives hidden/oracle facts</w:t>
            </w:r>
          </w:p>
        </w:tc>
        <w:tc>
          <w:tcPr>
            <w:tcW w:type="dxa" w:w="5040"/>
            <w:vAlign w:val="top"/>
          </w:tcPr>
          <w:p>
            <w:r/>
            <w:r>
              <w:rPr>
                <w:rFonts w:ascii="Aptos" w:hAnsi="Aptos"/>
                <w:b w:val="0"/>
                <w:sz w:val="14"/>
              </w:rPr>
              <w:t>CONTROLLED ON PAPER; must be enforced by module/interface tests.</w:t>
            </w:r>
          </w:p>
        </w:tc>
      </w:tr>
      <w:tr>
        <w:tc>
          <w:tcPr>
            <w:tcW w:type="dxa" w:w="5040"/>
            <w:vAlign w:val="top"/>
          </w:tcPr>
          <w:p>
            <w:r/>
            <w:r>
              <w:rPr>
                <w:rFonts w:ascii="Aptos" w:hAnsi="Aptos"/>
                <w:b w:val="0"/>
                <w:sz w:val="14"/>
              </w:rPr>
              <w:t>PV-PP receives unique action families</w:t>
            </w:r>
          </w:p>
        </w:tc>
        <w:tc>
          <w:tcPr>
            <w:tcW w:type="dxa" w:w="5040"/>
            <w:vAlign w:val="top"/>
          </w:tcPr>
          <w:p>
            <w:r/>
            <w:r>
              <w:rPr>
                <w:rFonts w:ascii="Aptos" w:hAnsi="Aptos"/>
                <w:b w:val="0"/>
                <w:sz w:val="14"/>
              </w:rPr>
              <w:t>CONTROLLED; common grammar must be logged before pruning.</w:t>
            </w:r>
          </w:p>
        </w:tc>
      </w:tr>
      <w:tr>
        <w:tc>
          <w:tcPr>
            <w:tcW w:type="dxa" w:w="5040"/>
            <w:vAlign w:val="top"/>
          </w:tcPr>
          <w:p>
            <w:r/>
            <w:r>
              <w:rPr>
                <w:rFonts w:ascii="Aptos" w:hAnsi="Aptos"/>
                <w:b w:val="0"/>
                <w:sz w:val="14"/>
              </w:rPr>
              <w:t>Scalar comparator intentionally weak</w:t>
            </w:r>
          </w:p>
        </w:tc>
        <w:tc>
          <w:tcPr>
            <w:tcW w:type="dxa" w:w="5040"/>
            <w:vAlign w:val="top"/>
          </w:tcPr>
          <w:p>
            <w:r/>
            <w:r>
              <w:rPr>
                <w:rFonts w:ascii="Aptos" w:hAnsi="Aptos"/>
                <w:b w:val="0"/>
                <w:sz w:val="14"/>
              </w:rPr>
              <w:t>CONTROLLED ON PAPER; estimator/objectives/sensitivity panel are now explicit. Implementation hand tests remain mandatory.</w:t>
            </w:r>
          </w:p>
        </w:tc>
      </w:tr>
      <w:tr>
        <w:tc>
          <w:tcPr>
            <w:tcW w:type="dxa" w:w="5040"/>
            <w:vAlign w:val="top"/>
          </w:tcPr>
          <w:p>
            <w:r/>
            <w:r>
              <w:rPr>
                <w:rFonts w:ascii="Aptos" w:hAnsi="Aptos"/>
                <w:b w:val="0"/>
                <w:sz w:val="14"/>
              </w:rPr>
              <w:t>Local comparator intentionally naive</w:t>
            </w:r>
          </w:p>
        </w:tc>
        <w:tc>
          <w:tcPr>
            <w:tcW w:type="dxa" w:w="5040"/>
            <w:vAlign w:val="top"/>
          </w:tcPr>
          <w:p>
            <w:r/>
            <w:r>
              <w:rPr>
                <w:rFonts w:ascii="Aptos" w:hAnsi="Aptos"/>
                <w:b w:val="0"/>
                <w:sz w:val="14"/>
              </w:rPr>
              <w:t>CONTROLLED ON PAPER; role priorities are explicit and calm-world success is required.</w:t>
            </w:r>
          </w:p>
        </w:tc>
      </w:tr>
      <w:tr>
        <w:tc>
          <w:tcPr>
            <w:tcW w:type="dxa" w:w="5040"/>
            <w:vAlign w:val="top"/>
          </w:tcPr>
          <w:p>
            <w:r/>
            <w:r>
              <w:rPr>
                <w:rFonts w:ascii="Aptos" w:hAnsi="Aptos"/>
                <w:b w:val="0"/>
                <w:sz w:val="14"/>
              </w:rPr>
              <w:t>PV-PP receives more raw history</w:t>
            </w:r>
          </w:p>
        </w:tc>
        <w:tc>
          <w:tcPr>
            <w:tcW w:type="dxa" w:w="5040"/>
            <w:vAlign w:val="top"/>
          </w:tcPr>
          <w:p>
            <w:r/>
            <w:r>
              <w:rPr>
                <w:rFonts w:ascii="Aptos" w:hAnsi="Aptos"/>
                <w:b w:val="0"/>
                <w:sz w:val="14"/>
              </w:rPr>
              <w:t>CONTROLLED; raw evidence parity precedes architecture-specific representation.</w:t>
            </w:r>
          </w:p>
        </w:tc>
      </w:tr>
      <w:tr>
        <w:tc>
          <w:tcPr>
            <w:tcW w:type="dxa" w:w="5040"/>
            <w:vAlign w:val="top"/>
          </w:tcPr>
          <w:p>
            <w:r/>
            <w:r>
              <w:rPr>
                <w:rFonts w:ascii="Aptos" w:hAnsi="Aptos"/>
                <w:b w:val="0"/>
                <w:sz w:val="14"/>
              </w:rPr>
              <w:t>PV-PP receives more compute</w:t>
            </w:r>
          </w:p>
        </w:tc>
        <w:tc>
          <w:tcPr>
            <w:tcW w:type="dxa" w:w="5040"/>
            <w:vAlign w:val="top"/>
          </w:tcPr>
          <w:p>
            <w:r/>
            <w:r>
              <w:rPr>
                <w:rFonts w:ascii="Aptos" w:hAnsi="Aptos"/>
                <w:b w:val="0"/>
                <w:sz w:val="14"/>
              </w:rPr>
              <w:t>CONTROLLED BY COMMON CALIBRATION RULE; measured ceiling pending.</w:t>
            </w:r>
          </w:p>
        </w:tc>
      </w:tr>
      <w:tr>
        <w:tc>
          <w:tcPr>
            <w:tcW w:type="dxa" w:w="5040"/>
            <w:vAlign w:val="top"/>
          </w:tcPr>
          <w:p>
            <w:r/>
            <w:r>
              <w:rPr>
                <w:rFonts w:ascii="Aptos" w:hAnsi="Aptos"/>
                <w:b w:val="0"/>
                <w:sz w:val="14"/>
              </w:rPr>
              <w:t>PV-PP agents coordinate centrally</w:t>
            </w:r>
          </w:p>
        </w:tc>
        <w:tc>
          <w:tcPr>
            <w:tcW w:type="dxa" w:w="5040"/>
            <w:vAlign w:val="top"/>
          </w:tcPr>
          <w:p>
            <w:r/>
            <w:r>
              <w:rPr>
                <w:rFonts w:ascii="Aptos" w:hAnsi="Aptos"/>
                <w:b w:val="0"/>
                <w:sz w:val="14"/>
              </w:rPr>
              <w:t>CONTROLLED; separate instances and world-only communication.</w:t>
            </w:r>
          </w:p>
        </w:tc>
      </w:tr>
      <w:tr>
        <w:tc>
          <w:tcPr>
            <w:tcW w:type="dxa" w:w="5040"/>
            <w:vAlign w:val="top"/>
          </w:tcPr>
          <w:p>
            <w:r/>
            <w:r>
              <w:rPr>
                <w:rFonts w:ascii="Aptos" w:hAnsi="Aptos"/>
                <w:b w:val="0"/>
                <w:sz w:val="14"/>
              </w:rPr>
              <w:t>Scalar weights tuned after results</w:t>
            </w:r>
          </w:p>
        </w:tc>
        <w:tc>
          <w:tcPr>
            <w:tcW w:type="dxa" w:w="5040"/>
            <w:vAlign w:val="top"/>
          </w:tcPr>
          <w:p>
            <w:r/>
            <w:r>
              <w:rPr>
                <w:rFonts w:ascii="Aptos" w:hAnsi="Aptos"/>
                <w:b w:val="0"/>
                <w:sz w:val="14"/>
              </w:rPr>
              <w:t>PROHIBITED; configs/hashes must be locked before primary execution.</w:t>
            </w:r>
          </w:p>
        </w:tc>
      </w:tr>
      <w:tr>
        <w:tc>
          <w:tcPr>
            <w:tcW w:type="dxa" w:w="5040"/>
            <w:vAlign w:val="top"/>
          </w:tcPr>
          <w:p>
            <w:r/>
            <w:r>
              <w:rPr>
                <w:rFonts w:ascii="Aptos" w:hAnsi="Aptos"/>
                <w:b w:val="0"/>
                <w:sz w:val="14"/>
              </w:rPr>
              <w:t>Stress severity/seed cherry-picking</w:t>
            </w:r>
          </w:p>
        </w:tc>
        <w:tc>
          <w:tcPr>
            <w:tcW w:type="dxa" w:w="5040"/>
            <w:vAlign w:val="top"/>
          </w:tcPr>
          <w:p>
            <w:r/>
            <w:r>
              <w:rPr>
                <w:rFonts w:ascii="Aptos" w:hAnsi="Aptos"/>
                <w:b w:val="0"/>
                <w:sz w:val="14"/>
              </w:rPr>
              <w:t>CONTROLLED; distributions, deterministic seed recipe, prefix-N rule, and invalid-seed ledger are fixed.</w:t>
            </w:r>
          </w:p>
        </w:tc>
      </w:tr>
      <w:tr>
        <w:tc>
          <w:tcPr>
            <w:tcW w:type="dxa" w:w="5040"/>
            <w:vAlign w:val="top"/>
          </w:tcPr>
          <w:p>
            <w:r/>
            <w:r>
              <w:rPr>
                <w:rFonts w:ascii="Aptos" w:hAnsi="Aptos"/>
                <w:b w:val="0"/>
                <w:sz w:val="14"/>
              </w:rPr>
              <w:t>Outcome metrics favor PV-PP vocabulary</w:t>
            </w:r>
          </w:p>
        </w:tc>
        <w:tc>
          <w:tcPr>
            <w:tcW w:type="dxa" w:w="5040"/>
            <w:vAlign w:val="top"/>
          </w:tcPr>
          <w:p>
            <w:r/>
            <w:r>
              <w:rPr>
                <w:rFonts w:ascii="Aptos" w:hAnsi="Aptos"/>
                <w:b w:val="0"/>
                <w:sz w:val="14"/>
              </w:rPr>
              <w:t>CONTROLLED; domain-native outcomes and blind aggregation.</w:t>
            </w:r>
          </w:p>
        </w:tc>
      </w:tr>
      <w:tr>
        <w:tc>
          <w:tcPr>
            <w:tcW w:type="dxa" w:w="5040"/>
            <w:vAlign w:val="top"/>
          </w:tcPr>
          <w:p>
            <w:r/>
            <w:r>
              <w:rPr>
                <w:rFonts w:ascii="Aptos" w:hAnsi="Aptos"/>
                <w:b w:val="0"/>
                <w:sz w:val="14"/>
              </w:rPr>
              <w:t>Recovery oracle leaks to controller</w:t>
            </w:r>
          </w:p>
        </w:tc>
        <w:tc>
          <w:tcPr>
            <w:tcW w:type="dxa" w:w="5040"/>
            <w:vAlign w:val="top"/>
          </w:tcPr>
          <w:p>
            <w:r/>
            <w:r>
              <w:rPr>
                <w:rFonts w:ascii="Aptos" w:hAnsi="Aptos"/>
                <w:b w:val="0"/>
                <w:sz w:val="14"/>
              </w:rPr>
              <w:t>CONTROLLED; evaluator/oracle interface separation required.</w:t>
            </w:r>
          </w:p>
        </w:tc>
      </w:tr>
      <w:tr>
        <w:tc>
          <w:tcPr>
            <w:tcW w:type="dxa" w:w="5040"/>
            <w:vAlign w:val="top"/>
          </w:tcPr>
          <w:p>
            <w:r/>
            <w:r>
              <w:rPr>
                <w:rFonts w:ascii="Aptos" w:hAnsi="Aptos"/>
                <w:b w:val="0"/>
                <w:sz w:val="14"/>
              </w:rPr>
              <w:t>PV-PP losses explained away</w:t>
            </w:r>
          </w:p>
        </w:tc>
        <w:tc>
          <w:tcPr>
            <w:tcW w:type="dxa" w:w="5040"/>
            <w:vAlign w:val="top"/>
          </w:tcPr>
          <w:p>
            <w:r/>
            <w:r>
              <w:rPr>
                <w:rFonts w:ascii="Aptos" w:hAnsi="Aptos"/>
                <w:b w:val="0"/>
                <w:sz w:val="14"/>
              </w:rPr>
              <w:t>CONTROLLED; ordered failure taxonomy and negative-result preservation remain binding.</w:t>
            </w:r>
          </w:p>
        </w:tc>
      </w:tr>
    </w:tbl>
    <w:p>
      <w:pPr>
        <w:spacing w:after="20"/>
      </w:pPr>
    </w:p>
    <w:p>
      <w:pPr>
        <w:pStyle w:val="Heading1"/>
      </w:pPr>
      <w:r>
        <w:t>8. New Process Finding: Calibration Bootstrap Circularity</w:t>
      </w:r>
    </w:p>
    <w:p>
      <w:r>
        <w:t>The closure audit identifies one sequencing defect that should be corrected rather than ignored.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5"/>
              </w:rPr>
              <w:t>Prior rule</w:t>
            </w:r>
          </w:p>
        </w:tc>
        <w:tc>
          <w:tcPr>
            <w:tcW w:type="dxa" w:w="3360"/>
            <w:vAlign w:val="top"/>
            <w:shd w:fill="D9E2F3"/>
          </w:tcPr>
          <w:p>
            <w:r/>
            <w:r>
              <w:rPr>
                <w:rFonts w:ascii="Aptos" w:hAnsi="Aptos"/>
                <w:b/>
                <w:sz w:val="15"/>
              </w:rPr>
              <w:t>Problem</w:t>
            </w:r>
          </w:p>
        </w:tc>
        <w:tc>
          <w:tcPr>
            <w:tcW w:type="dxa" w:w="3360"/>
            <w:vAlign w:val="top"/>
            <w:shd w:fill="D9E2F3"/>
          </w:tcPr>
          <w:p>
            <w:r/>
            <w:r>
              <w:rPr>
                <w:rFonts w:ascii="Aptos" w:hAnsi="Aptos"/>
                <w:b/>
                <w:sz w:val="15"/>
              </w:rPr>
              <w:t>Closure resolution</w:t>
            </w:r>
          </w:p>
        </w:tc>
      </w:tr>
      <w:tr>
        <w:tc>
          <w:tcPr>
            <w:tcW w:type="dxa" w:w="3360"/>
            <w:vAlign w:val="top"/>
          </w:tcPr>
          <w:p>
            <w:r/>
            <w:r>
              <w:rPr>
                <w:rFonts w:ascii="Aptos" w:hAnsi="Aptos"/>
                <w:b w:val="0"/>
                <w:sz w:val="14"/>
              </w:rPr>
              <w:t>v0.8/v0.8.1 withhold comparative implementation until manifest, while final compute ceiling requires A/B dry calibration.</w:t>
            </w:r>
          </w:p>
        </w:tc>
        <w:tc>
          <w:tcPr>
            <w:tcW w:type="dxa" w:w="3360"/>
            <w:vAlign w:val="top"/>
          </w:tcPr>
          <w:p>
            <w:r/>
            <w:r>
              <w:rPr>
                <w:rFonts w:ascii="Aptos" w:hAnsi="Aptos"/>
                <w:b w:val="0"/>
                <w:sz w:val="14"/>
              </w:rPr>
              <w:t>A/B controller code must exist to measure whether 10,000 evaluations / 2.0 seconds / 256 paths is sufficient.</w:t>
            </w:r>
          </w:p>
        </w:tc>
        <w:tc>
          <w:tcPr>
            <w:tcW w:type="dxa" w:w="3360"/>
            <w:vAlign w:val="top"/>
          </w:tcPr>
          <w:p>
            <w:r/>
            <w:r>
              <w:rPr>
                <w:rFonts w:ascii="Aptos" w:hAnsi="Aptos"/>
                <w:b w:val="0"/>
                <w:sz w:val="14"/>
              </w:rPr>
              <w:t>Authorize implementation of controller interfaces and A/B/C code only for hand fixtures and controller-blind calibration. Primary challenge trace and comparative outcome generation remain prohibited.</w:t>
            </w:r>
          </w:p>
        </w:tc>
      </w:tr>
      <w:tr>
        <w:tc>
          <w:tcPr>
            <w:tcW w:type="dxa" w:w="3360"/>
            <w:vAlign w:val="top"/>
          </w:tcPr>
          <w:p>
            <w:r/>
            <w:r>
              <w:rPr>
                <w:rFonts w:ascii="Aptos" w:hAnsi="Aptos"/>
                <w:b w:val="0"/>
                <w:sz w:val="14"/>
              </w:rPr>
              <w:t>Final ensemble N requires 1,000 controller-free event-generator traces.</w:t>
            </w:r>
          </w:p>
        </w:tc>
        <w:tc>
          <w:tcPr>
            <w:tcW w:type="dxa" w:w="3360"/>
            <w:vAlign w:val="top"/>
          </w:tcPr>
          <w:p>
            <w:r/>
            <w:r>
              <w:rPr>
                <w:rFonts w:ascii="Aptos" w:hAnsi="Aptos"/>
                <w:b w:val="0"/>
                <w:sz w:val="14"/>
              </w:rPr>
              <w:t>The world/event generator must exist before N can be measured.</w:t>
            </w:r>
          </w:p>
        </w:tc>
        <w:tc>
          <w:tcPr>
            <w:tcW w:type="dxa" w:w="3360"/>
            <w:vAlign w:val="top"/>
          </w:tcPr>
          <w:p>
            <w:r/>
            <w:r>
              <w:rPr>
                <w:rFonts w:ascii="Aptos" w:hAnsi="Aptos"/>
                <w:b w:val="0"/>
                <w:sz w:val="14"/>
              </w:rPr>
              <w:t>Authorize world/event generator implementation and controller-free calibration before primary execution.</w:t>
            </w:r>
          </w:p>
        </w:tc>
      </w:tr>
      <w:tr>
        <w:tc>
          <w:tcPr>
            <w:tcW w:type="dxa" w:w="3360"/>
            <w:vAlign w:val="top"/>
          </w:tcPr>
          <w:p>
            <w:r/>
            <w:r>
              <w:rPr>
                <w:rFonts w:ascii="Aptos" w:hAnsi="Aptos"/>
                <w:b w:val="0"/>
                <w:sz w:val="14"/>
              </w:rPr>
              <w:t>Manifest was described as containing final measured values.</w:t>
            </w:r>
          </w:p>
        </w:tc>
        <w:tc>
          <w:tcPr>
            <w:tcW w:type="dxa" w:w="3360"/>
            <w:vAlign w:val="top"/>
          </w:tcPr>
          <w:p>
            <w:r/>
            <w:r>
              <w:rPr>
                <w:rFonts w:ascii="Aptos" w:hAnsi="Aptos"/>
                <w:b w:val="0"/>
                <w:sz w:val="14"/>
              </w:rPr>
              <w:t>Those values do not yet exist.</w:t>
            </w:r>
          </w:p>
        </w:tc>
        <w:tc>
          <w:tcPr>
            <w:tcW w:type="dxa" w:w="3360"/>
            <w:vAlign w:val="top"/>
          </w:tcPr>
          <w:p>
            <w:r/>
            <w:r>
              <w:rPr>
                <w:rFonts w:ascii="Aptos" w:hAnsi="Aptos"/>
                <w:b w:val="0"/>
                <w:sz w:val="14"/>
              </w:rPr>
              <w:t>Split the freeze into a Pre-Implementation Freeze Manifest and a Calibration Lock Record. The latter supplies measured ceilings/N and becomes the final execution authorization.</w:t>
            </w:r>
          </w:p>
        </w:tc>
      </w:tr>
    </w:tbl>
    <w:p>
      <w:pPr>
        <w:spacing w:after="20"/>
      </w:pPr>
    </w:p>
    <w:p>
      <w:r>
        <w:t>This change does not relax anti-favoritism. It strengthens it by making the only permissible pre-lock execution explicit and auditable.</w:t>
      </w:r>
    </w:p>
    <w:p>
      <w:pPr>
        <w:pStyle w:val="Heading1"/>
      </w:pPr>
      <w:r>
        <w:t>9. Two-Stage Freeze Procedure</w:t>
      </w:r>
    </w:p>
    <w:p>
      <w:pPr>
        <w:spacing w:after="20"/>
        <w:ind w:left="317" w:hanging="259"/>
      </w:pPr>
      <w:r>
        <w:rPr>
          <w:b/>
        </w:rPr>
        <w:t xml:space="preserve">1. </w:t>
      </w:r>
      <w:r>
        <w:t>Issue a Pre-Implementation Freeze Manifest v1.0 that hashes v0.1-v0.9, freezes all paper parameters/configuration rules, freezes the seed-generation recipe, and authorizes calibration-only implementation.</w:t>
      </w:r>
    </w:p>
    <w:p>
      <w:pPr>
        <w:spacing w:after="20"/>
        <w:ind w:left="317" w:hanging="259"/>
      </w:pPr>
      <w:r>
        <w:rPr>
          <w:b/>
        </w:rPr>
        <w:t xml:space="preserve">2. </w:t>
      </w:r>
      <w:r>
        <w:t>Implement the world/event generator, observation interfaces, common action grammar, ledgers, controller adapters, A/B/C controllers, and oracle module behind the frozen interfaces.</w:t>
      </w:r>
    </w:p>
    <w:p>
      <w:pPr>
        <w:spacing w:after="20"/>
        <w:ind w:left="317" w:hanging="259"/>
      </w:pPr>
      <w:r>
        <w:rPr>
          <w:b/>
        </w:rPr>
        <w:t xml:space="preserve">3. </w:t>
      </w:r>
      <w:r>
        <w:t>Run only the listed hand fixtures, integrity tests, controller-blind compute calibration, and controller-free 1,000-seed ensemble calibration. Do not run the primary challenge trace for comparative outcomes.</w:t>
      </w:r>
    </w:p>
    <w:p>
      <w:pPr>
        <w:spacing w:after="20"/>
        <w:ind w:left="317" w:hanging="259"/>
      </w:pPr>
      <w:r>
        <w:rPr>
          <w:b/>
        </w:rPr>
        <w:t xml:space="preserve">4. </w:t>
      </w:r>
      <w:r>
        <w:t>Record the first passing common computation ceiling, reference hardware/runtime, generated 1,000-seed file hash, selected N, event-frequency calibration table, and implementation/code hashes in a Calibration Lock Record.</w:t>
      </w:r>
    </w:p>
    <w:p>
      <w:pPr>
        <w:spacing w:after="20"/>
        <w:ind w:left="317" w:hanging="259"/>
      </w:pPr>
      <w:r>
        <w:rPr>
          <w:b/>
        </w:rPr>
        <w:t xml:space="preserve">5. </w:t>
      </w:r>
      <w:r>
        <w:t>Run implementation conformance tests for T1-T12 assertions, oracle isolation, information parity, action parity, common-random keys, ledger replay, and separate-agent firewall.</w:t>
      </w:r>
    </w:p>
    <w:p>
      <w:pPr>
        <w:spacing w:after="20"/>
        <w:ind w:left="317" w:hanging="259"/>
      </w:pPr>
      <w:r>
        <w:rPr>
          <w:b/>
        </w:rPr>
        <w:t xml:space="preserve">6. </w:t>
      </w:r>
      <w:r>
        <w:t>If any implementation defect requires changing a frozen paper rule rather than merely correcting code, reopen the affected specification, increment version, and rerun closure audit.</w:t>
      </w:r>
    </w:p>
    <w:p>
      <w:pPr>
        <w:spacing w:after="20"/>
        <w:ind w:left="317" w:hanging="259"/>
      </w:pPr>
      <w:r>
        <w:rPr>
          <w:b/>
        </w:rPr>
        <w:t xml:space="preserve">7. </w:t>
      </w:r>
      <w:r>
        <w:t>If calibration and conformance pass without paper-rule change, sign the Calibration Lock Record. Only that record authorizes primary comparative A/B/C execution.</w:t>
      </w:r>
    </w:p>
    <w:p>
      <w:pPr>
        <w:pStyle w:val="Heading1"/>
      </w:pPr>
      <w:r>
        <w:t>10. What Calibration May and May Not Do</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Permitted before execution lock</w:t>
            </w:r>
          </w:p>
        </w:tc>
        <w:tc>
          <w:tcPr>
            <w:tcW w:type="dxa" w:w="5040"/>
            <w:vAlign w:val="top"/>
            <w:shd w:fill="D9E2F3"/>
          </w:tcPr>
          <w:p>
            <w:r/>
            <w:r>
              <w:rPr>
                <w:rFonts w:ascii="Aptos" w:hAnsi="Aptos"/>
                <w:b/>
                <w:sz w:val="15"/>
              </w:rPr>
              <w:t>Prohibited before execution lock</w:t>
            </w:r>
          </w:p>
        </w:tc>
      </w:tr>
      <w:tr>
        <w:tc>
          <w:tcPr>
            <w:tcW w:type="dxa" w:w="5040"/>
            <w:vAlign w:val="top"/>
          </w:tcPr>
          <w:p>
            <w:r/>
            <w:r>
              <w:rPr>
                <w:rFonts w:ascii="Aptos" w:hAnsi="Aptos"/>
                <w:b w:val="0"/>
                <w:sz w:val="14"/>
              </w:rPr>
              <w:t>Compile/build all modules</w:t>
            </w:r>
          </w:p>
        </w:tc>
        <w:tc>
          <w:tcPr>
            <w:tcW w:type="dxa" w:w="5040"/>
            <w:vAlign w:val="top"/>
          </w:tcPr>
          <w:p>
            <w:r/>
            <w:r>
              <w:rPr>
                <w:rFonts w:ascii="Aptos" w:hAnsi="Aptos"/>
                <w:b w:val="0"/>
                <w:sz w:val="14"/>
              </w:rPr>
              <w:t>Inspect primary A/B/C winner outcomes</w:t>
            </w:r>
          </w:p>
        </w:tc>
      </w:tr>
      <w:tr>
        <w:tc>
          <w:tcPr>
            <w:tcW w:type="dxa" w:w="5040"/>
            <w:vAlign w:val="top"/>
          </w:tcPr>
          <w:p>
            <w:r/>
            <w:r>
              <w:rPr>
                <w:rFonts w:ascii="Aptos" w:hAnsi="Aptos"/>
                <w:b w:val="0"/>
                <w:sz w:val="14"/>
              </w:rPr>
              <w:t>Run unit/invariant tests</w:t>
            </w:r>
          </w:p>
        </w:tc>
        <w:tc>
          <w:tcPr>
            <w:tcW w:type="dxa" w:w="5040"/>
            <w:vAlign w:val="top"/>
          </w:tcPr>
          <w:p>
            <w:r/>
            <w:r>
              <w:rPr>
                <w:rFonts w:ascii="Aptos" w:hAnsi="Aptos"/>
                <w:b w:val="0"/>
                <w:sz w:val="14"/>
              </w:rPr>
              <w:t>Tune scalar weights after seeing PV-PP behavior</w:t>
            </w:r>
          </w:p>
        </w:tc>
      </w:tr>
      <w:tr>
        <w:tc>
          <w:tcPr>
            <w:tcW w:type="dxa" w:w="5040"/>
            <w:vAlign w:val="top"/>
          </w:tcPr>
          <w:p>
            <w:r/>
            <w:r>
              <w:rPr>
                <w:rFonts w:ascii="Aptos" w:hAnsi="Aptos"/>
                <w:b w:val="0"/>
                <w:sz w:val="14"/>
              </w:rPr>
              <w:t>Run T1-T12 implementation fixtures</w:t>
            </w:r>
          </w:p>
        </w:tc>
        <w:tc>
          <w:tcPr>
            <w:tcW w:type="dxa" w:w="5040"/>
            <w:vAlign w:val="top"/>
          </w:tcPr>
          <w:p>
            <w:r/>
            <w:r>
              <w:rPr>
                <w:rFonts w:ascii="Aptos" w:hAnsi="Aptos"/>
                <w:b w:val="0"/>
                <w:sz w:val="14"/>
              </w:rPr>
              <w:t>Change stress probabilities because one regime looks strong/weak</w:t>
            </w:r>
          </w:p>
        </w:tc>
      </w:tr>
      <w:tr>
        <w:tc>
          <w:tcPr>
            <w:tcW w:type="dxa" w:w="5040"/>
            <w:vAlign w:val="top"/>
          </w:tcPr>
          <w:p>
            <w:r/>
            <w:r>
              <w:rPr>
                <w:rFonts w:ascii="Aptos" w:hAnsi="Aptos"/>
                <w:b w:val="0"/>
                <w:sz w:val="14"/>
              </w:rPr>
              <w:t>Run calm/synthetic controller-neutral budget states</w:t>
            </w:r>
          </w:p>
        </w:tc>
        <w:tc>
          <w:tcPr>
            <w:tcW w:type="dxa" w:w="5040"/>
            <w:vAlign w:val="top"/>
          </w:tcPr>
          <w:p>
            <w:r/>
            <w:r>
              <w:rPr>
                <w:rFonts w:ascii="Aptos" w:hAnsi="Aptos"/>
                <w:b w:val="0"/>
                <w:sz w:val="14"/>
              </w:rPr>
              <w:t>Run the primary deterministic challenge as a comparative experiment</w:t>
            </w:r>
          </w:p>
        </w:tc>
      </w:tr>
      <w:tr>
        <w:tc>
          <w:tcPr>
            <w:tcW w:type="dxa" w:w="5040"/>
            <w:vAlign w:val="top"/>
          </w:tcPr>
          <w:p>
            <w:r/>
            <w:r>
              <w:rPr>
                <w:rFonts w:ascii="Aptos" w:hAnsi="Aptos"/>
                <w:b w:val="0"/>
                <w:sz w:val="14"/>
              </w:rPr>
              <w:t>Generate 1,000 controller-free exogenous traces</w:t>
            </w:r>
          </w:p>
        </w:tc>
        <w:tc>
          <w:tcPr>
            <w:tcW w:type="dxa" w:w="5040"/>
            <w:vAlign w:val="top"/>
          </w:tcPr>
          <w:p>
            <w:r/>
            <w:r>
              <w:rPr>
                <w:rFonts w:ascii="Aptos" w:hAnsi="Aptos"/>
                <w:b w:val="0"/>
                <w:sz w:val="14"/>
              </w:rPr>
              <w:t>Drop seeds because their outcomes are inconvenient</w:t>
            </w:r>
          </w:p>
        </w:tc>
      </w:tr>
      <w:tr>
        <w:tc>
          <w:tcPr>
            <w:tcW w:type="dxa" w:w="5040"/>
            <w:vAlign w:val="top"/>
          </w:tcPr>
          <w:p>
            <w:r/>
            <w:r>
              <w:rPr>
                <w:rFonts w:ascii="Aptos" w:hAnsi="Aptos"/>
                <w:b w:val="0"/>
                <w:sz w:val="14"/>
              </w:rPr>
              <w:t>Measure runtime/evaluation completion</w:t>
            </w:r>
          </w:p>
        </w:tc>
        <w:tc>
          <w:tcPr>
            <w:tcW w:type="dxa" w:w="5040"/>
            <w:vAlign w:val="top"/>
          </w:tcPr>
          <w:p>
            <w:r/>
            <w:r>
              <w:rPr>
                <w:rFonts w:ascii="Aptos" w:hAnsi="Aptos"/>
                <w:b w:val="0"/>
                <w:sz w:val="14"/>
              </w:rPr>
              <w:t>Use controller outcome variance to choose N</w:t>
            </w:r>
          </w:p>
        </w:tc>
      </w:tr>
      <w:tr>
        <w:tc>
          <w:tcPr>
            <w:tcW w:type="dxa" w:w="5040"/>
            <w:vAlign w:val="top"/>
          </w:tcPr>
          <w:p>
            <w:r/>
            <w:r>
              <w:rPr>
                <w:rFonts w:ascii="Aptos" w:hAnsi="Aptos"/>
                <w:b w:val="0"/>
                <w:sz w:val="14"/>
              </w:rPr>
              <w:t>Correct code that violates frozen specification</w:t>
            </w:r>
          </w:p>
        </w:tc>
        <w:tc>
          <w:tcPr>
            <w:tcW w:type="dxa" w:w="5040"/>
            <w:vAlign w:val="top"/>
          </w:tcPr>
          <w:p>
            <w:r/>
            <w:r>
              <w:rPr>
                <w:rFonts w:ascii="Aptos" w:hAnsi="Aptos"/>
                <w:b w:val="0"/>
                <w:sz w:val="14"/>
              </w:rPr>
              <w:t>Change frozen paper rules without versioned patch/closure audit</w:t>
            </w:r>
          </w:p>
        </w:tc>
      </w:tr>
    </w:tbl>
    <w:p>
      <w:pPr>
        <w:spacing w:after="20"/>
      </w:pPr>
    </w:p>
    <w:p>
      <w:pPr>
        <w:pStyle w:val="Heading1"/>
      </w:pPr>
      <w:r>
        <w:t>11. Pre-Implementation Manifest Contents Now Authorized</w:t>
      </w:r>
    </w:p>
    <w:p>
      <w:pPr>
        <w:pStyle w:val="ListBullet"/>
        <w:spacing w:after="20"/>
      </w:pPr>
      <w:r>
        <w:t>Exact benchmark document inventory and SHA-256 hashes for v0.1-v0.9.</w:t>
      </w:r>
    </w:p>
    <w:p>
      <w:pPr>
        <w:pStyle w:val="ListBullet"/>
        <w:spacing w:after="20"/>
      </w:pPr>
      <w:r>
        <w:t>Authority dependency list, including canonical Sigma/Fallback version used.</w:t>
      </w:r>
    </w:p>
    <w:p>
      <w:pPr>
        <w:pStyle w:val="ListBullet"/>
        <w:spacing w:after="20"/>
      </w:pPr>
      <w:r>
        <w:t>Supersession table showing v0.8 resolutions over earlier proposed/open language.</w:t>
      </w:r>
    </w:p>
    <w:p>
      <w:pPr>
        <w:pStyle w:val="ListBullet"/>
        <w:spacing w:after="20"/>
      </w:pPr>
      <w:r>
        <w:t>All benchmark fixture tables: world values, stochastic distributions, strategic-message rules, inspection/qualification parameters, scalar weights, local priorities, horizons, oracle budgets, outcome/statistical rules.</w:t>
      </w:r>
    </w:p>
    <w:p>
      <w:pPr>
        <w:pStyle w:val="ListBullet"/>
        <w:spacing w:after="20"/>
      </w:pPr>
      <w:r>
        <w:t>Seed-generation namespace/algorithm and requirement to archive the generated 1,000-seed file before primary execution.</w:t>
      </w:r>
    </w:p>
    <w:p>
      <w:pPr>
        <w:pStyle w:val="ListBullet"/>
        <w:spacing w:after="20"/>
      </w:pPr>
      <w:r>
        <w:t>Initial computation-calibration target and multiplicative adjustment rule, clearly marked 'calibration pending.'</w:t>
      </w:r>
    </w:p>
    <w:p>
      <w:pPr>
        <w:pStyle w:val="ListBullet"/>
        <w:spacing w:after="20"/>
      </w:pPr>
      <w:r>
        <w:t>Ensemble-size selection rule, clearly marked 'calibration pending.'</w:t>
      </w:r>
    </w:p>
    <w:p>
      <w:pPr>
        <w:pStyle w:val="ListBullet"/>
        <w:spacing w:after="20"/>
      </w:pPr>
      <w:r>
        <w:t>Implementation assertions from v0.8.1.</w:t>
      </w:r>
    </w:p>
    <w:p>
      <w:pPr>
        <w:pStyle w:val="ListBullet"/>
        <w:spacing w:after="20"/>
      </w:pPr>
      <w:r>
        <w:t>Explicit prohibition on primary comparative execution until the Calibration Lock Record is complete.</w:t>
      </w:r>
    </w:p>
    <w:p>
      <w:pPr>
        <w:pStyle w:val="ListBullet"/>
        <w:spacing w:after="20"/>
      </w:pPr>
      <w:r>
        <w:t>Authority-hygiene statement that benchmark fixtures are not canonical PV-PP constants/operators.</w:t>
      </w:r>
    </w:p>
    <w:p>
      <w:pPr>
        <w:pStyle w:val="Heading1"/>
      </w:pPr>
      <w:r>
        <w:t>12. Remaining Risks Are Implementation Risks, Not Paper Gaps</w:t>
      </w:r>
    </w:p>
    <w:p>
      <w:pPr>
        <w:pStyle w:val="ListBullet"/>
        <w:spacing w:after="20"/>
      </w:pPr>
      <w:r>
        <w:t>Incorrect accessible-PP accounting could accidentally destroy PP when merely encumbering it.</w:t>
      </w:r>
    </w:p>
    <w:p>
      <w:pPr>
        <w:pStyle w:val="ListBullet"/>
        <w:spacing w:after="20"/>
      </w:pPr>
      <w:r>
        <w:t>Call-order randomness could break common-random coupling.</w:t>
      </w:r>
    </w:p>
    <w:p>
      <w:pPr>
        <w:pStyle w:val="ListBullet"/>
        <w:spacing w:after="20"/>
      </w:pPr>
      <w:r>
        <w:t>Controller adapters could accidentally omit/add evidence or actions.</w:t>
      </w:r>
    </w:p>
    <w:p>
      <w:pPr>
        <w:pStyle w:val="ListBullet"/>
        <w:spacing w:after="20"/>
      </w:pPr>
      <w:r>
        <w:t>PV-PP search could fail to implement Pi-completeness/contaminated-substrate rules as specified.</w:t>
      </w:r>
    </w:p>
    <w:p>
      <w:pPr>
        <w:pStyle w:val="ListBullet"/>
        <w:spacing w:after="20"/>
      </w:pPr>
      <w:r>
        <w:t>B estimator could accidentally consume oracle state.</w:t>
      </w:r>
    </w:p>
    <w:p>
      <w:pPr>
        <w:pStyle w:val="ListBullet"/>
        <w:spacing w:after="20"/>
      </w:pPr>
      <w:r>
        <w:t>Shared-resource resolver could introduce controller-identity priority.</w:t>
      </w:r>
    </w:p>
    <w:p>
      <w:pPr>
        <w:pStyle w:val="ListBullet"/>
        <w:spacing w:after="20"/>
      </w:pPr>
      <w:r>
        <w:t>Oracle module could leak recovery truth into PRE construction.</w:t>
      </w:r>
    </w:p>
    <w:p>
      <w:pPr>
        <w:pStyle w:val="ListBullet"/>
        <w:spacing w:after="20"/>
      </w:pPr>
      <w:r>
        <w:t>Ledger replay could fail to reconstruct transformations/outcomes.</w:t>
      </w:r>
    </w:p>
    <w:p>
      <w:pPr>
        <w:pStyle w:val="ListBullet"/>
        <w:spacing w:after="20"/>
      </w:pPr>
      <w:r>
        <w:t>Parallelism/hardware differences could distort the common compute ceiling.</w:t>
      </w:r>
    </w:p>
    <w:p>
      <w:pPr>
        <w:pStyle w:val="ListBullet"/>
        <w:spacing w:after="20"/>
      </w:pPr>
      <w:r>
        <w:t>These require automated tests and calibration records; they do not justify reopening the benchmark world now.</w:t>
      </w:r>
    </w:p>
    <w:p>
      <w:pPr>
        <w:pStyle w:val="Heading1"/>
      </w:pPr>
      <w:r>
        <w:t>13. Closure Gate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5"/>
              </w:rPr>
              <w:t>Gate</w:t>
            </w:r>
          </w:p>
        </w:tc>
        <w:tc>
          <w:tcPr>
            <w:tcW w:type="dxa" w:w="5040"/>
            <w:vAlign w:val="top"/>
            <w:shd w:fill="D9E2F3"/>
          </w:tcPr>
          <w:p>
            <w:r/>
            <w:r>
              <w:rPr>
                <w:rFonts w:ascii="Aptos" w:hAnsi="Aptos"/>
                <w:b/>
                <w:sz w:val="15"/>
              </w:rPr>
              <w:t>v0.9 result</w:t>
            </w:r>
          </w:p>
        </w:tc>
      </w:tr>
      <w:tr>
        <w:tc>
          <w:tcPr>
            <w:tcW w:type="dxa" w:w="5040"/>
            <w:vAlign w:val="top"/>
          </w:tcPr>
          <w:p>
            <w:r/>
            <w:r>
              <w:rPr>
                <w:rFonts w:ascii="Aptos" w:hAnsi="Aptos"/>
                <w:b w:val="0"/>
                <w:sz w:val="14"/>
              </w:rPr>
              <w:t>World/state design</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Information/memory boundary</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Action/event grammar</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PV-PP controller paper contract</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Scalar comparator paper contract</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Local comparator paper contract</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Strategic/stochastic fixture rules</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Planning/action timing</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Oracle/failure attribution</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Outcome/statistical protocol</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Manual T1-T12 traces</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Structural-favoritism paper audit</w:t>
            </w:r>
          </w:p>
        </w:tc>
        <w:tc>
          <w:tcPr>
            <w:tcW w:type="dxa" w:w="5040"/>
            <w:vAlign w:val="top"/>
          </w:tcPr>
          <w:p>
            <w:r/>
            <w:r>
              <w:rPr>
                <w:rFonts w:ascii="Aptos" w:hAnsi="Aptos"/>
                <w:b w:val="0"/>
                <w:sz w:val="14"/>
              </w:rPr>
              <w:t>PASS</w:t>
            </w:r>
          </w:p>
        </w:tc>
      </w:tr>
      <w:tr>
        <w:tc>
          <w:tcPr>
            <w:tcW w:type="dxa" w:w="5040"/>
            <w:vAlign w:val="top"/>
          </w:tcPr>
          <w:p>
            <w:r/>
            <w:r>
              <w:rPr>
                <w:rFonts w:ascii="Aptos" w:hAnsi="Aptos"/>
                <w:b w:val="0"/>
                <w:sz w:val="14"/>
              </w:rPr>
              <w:t>Measured compute ceiling</w:t>
            </w:r>
          </w:p>
        </w:tc>
        <w:tc>
          <w:tcPr>
            <w:tcW w:type="dxa" w:w="5040"/>
            <w:vAlign w:val="top"/>
          </w:tcPr>
          <w:p>
            <w:r/>
            <w:r>
              <w:rPr>
                <w:rFonts w:ascii="Aptos" w:hAnsi="Aptos"/>
                <w:b w:val="0"/>
                <w:sz w:val="14"/>
              </w:rPr>
              <w:t>PENDING CALIBRATION IMPLEMENTATION</w:t>
            </w:r>
          </w:p>
        </w:tc>
      </w:tr>
      <w:tr>
        <w:tc>
          <w:tcPr>
            <w:tcW w:type="dxa" w:w="5040"/>
            <w:vAlign w:val="top"/>
          </w:tcPr>
          <w:p>
            <w:r/>
            <w:r>
              <w:rPr>
                <w:rFonts w:ascii="Aptos" w:hAnsi="Aptos"/>
                <w:b w:val="0"/>
                <w:sz w:val="14"/>
              </w:rPr>
              <w:t>Measured ensemble N</w:t>
            </w:r>
          </w:p>
        </w:tc>
        <w:tc>
          <w:tcPr>
            <w:tcW w:type="dxa" w:w="5040"/>
            <w:vAlign w:val="top"/>
          </w:tcPr>
          <w:p>
            <w:r/>
            <w:r>
              <w:rPr>
                <w:rFonts w:ascii="Aptos" w:hAnsi="Aptos"/>
                <w:b w:val="0"/>
                <w:sz w:val="14"/>
              </w:rPr>
              <w:t>PENDING CONTROLLER-FREE EVENT CALIBRATION</w:t>
            </w:r>
          </w:p>
        </w:tc>
      </w:tr>
      <w:tr>
        <w:tc>
          <w:tcPr>
            <w:tcW w:type="dxa" w:w="5040"/>
            <w:vAlign w:val="top"/>
          </w:tcPr>
          <w:p>
            <w:r/>
            <w:r>
              <w:rPr>
                <w:rFonts w:ascii="Aptos" w:hAnsi="Aptos"/>
                <w:b w:val="0"/>
                <w:sz w:val="14"/>
              </w:rPr>
              <w:t>Implementation conformance tests</w:t>
            </w:r>
          </w:p>
        </w:tc>
        <w:tc>
          <w:tcPr>
            <w:tcW w:type="dxa" w:w="5040"/>
            <w:vAlign w:val="top"/>
          </w:tcPr>
          <w:p>
            <w:r/>
            <w:r>
              <w:rPr>
                <w:rFonts w:ascii="Aptos" w:hAnsi="Aptos"/>
                <w:b w:val="0"/>
                <w:sz w:val="14"/>
              </w:rPr>
              <w:t>PENDING</w:t>
            </w:r>
          </w:p>
        </w:tc>
      </w:tr>
      <w:tr>
        <w:tc>
          <w:tcPr>
            <w:tcW w:type="dxa" w:w="5040"/>
            <w:vAlign w:val="top"/>
          </w:tcPr>
          <w:p>
            <w:r/>
            <w:r>
              <w:rPr>
                <w:rFonts w:ascii="Aptos" w:hAnsi="Aptos"/>
                <w:b w:val="0"/>
                <w:sz w:val="14"/>
              </w:rPr>
              <w:t>Ready for Pre-Implementation Freeze Manifest</w:t>
            </w:r>
          </w:p>
        </w:tc>
        <w:tc>
          <w:tcPr>
            <w:tcW w:type="dxa" w:w="5040"/>
            <w:vAlign w:val="top"/>
          </w:tcPr>
          <w:p>
            <w:r/>
            <w:r>
              <w:rPr>
                <w:rFonts w:ascii="Aptos" w:hAnsi="Aptos"/>
                <w:b w:val="0"/>
                <w:sz w:val="14"/>
              </w:rPr>
              <w:t>YES</w:t>
            </w:r>
          </w:p>
        </w:tc>
      </w:tr>
      <w:tr>
        <w:tc>
          <w:tcPr>
            <w:tcW w:type="dxa" w:w="5040"/>
            <w:vAlign w:val="top"/>
          </w:tcPr>
          <w:p>
            <w:r/>
            <w:r>
              <w:rPr>
                <w:rFonts w:ascii="Aptos" w:hAnsi="Aptos"/>
                <w:b w:val="0"/>
                <w:sz w:val="14"/>
              </w:rPr>
              <w:t>Ready for primary comparative execution</w:t>
            </w:r>
          </w:p>
        </w:tc>
        <w:tc>
          <w:tcPr>
            <w:tcW w:type="dxa" w:w="5040"/>
            <w:vAlign w:val="top"/>
          </w:tcPr>
          <w:p>
            <w:r/>
            <w:r>
              <w:rPr>
                <w:rFonts w:ascii="Aptos" w:hAnsi="Aptos"/>
                <w:b w:val="0"/>
                <w:sz w:val="14"/>
              </w:rPr>
              <w:t>NO</w:t>
            </w:r>
          </w:p>
        </w:tc>
      </w:tr>
    </w:tbl>
    <w:p>
      <w:pPr>
        <w:spacing w:after="20"/>
      </w:pPr>
    </w:p>
    <w:p>
      <w:pPr>
        <w:pStyle w:val="Heading1"/>
      </w:pPr>
      <w:r>
        <w:t>14. Final Closure Conclusion</w:t>
      </w:r>
    </w:p>
    <w:p>
      <w:r>
        <w:t>The v0.7 paper-audit backlog is closed to the level possible before code exists. No unresolved benchmark-design choice remains that should be left to ordinary implementation discretion. The remaining unknowns are measured calibration outputs and implementation-conformance facts.</w:t>
      </w:r>
    </w:p>
    <w:p>
      <w:r>
        <w:t>Accordingly, the benchmark should now be frozen at the paper level. The next artifact should be the Pre-Implementation Freeze Manifest v1.0. That manifest should authorize only calibration/conformance implementation and explicitly prohibit primary comparative execution.</w:t>
      </w:r>
    </w:p>
    <w:p>
      <w:r>
        <w:t>After the implementation produces the common computation ceiling, the controller-free ensemble N, the seed-file hash, and passing conformance results, a Calibration Lock Record should be issued. That lock - not this audit and not the paper manifest alone - should authorize the first primary comparative run.</w:t>
      </w:r>
    </w:p>
    <w:p>
      <w:r>
        <w:t>Audit disposition: READY FOR PRE-IMPLEMENTATION FREEZE MANIFEST. PRIMARY COMPARATIVE EXECUTION REMAINS WITHHELD.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Benchmark Pre-Freeze Closure Audit v0.9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