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Integrated Multi-Agent Productive System Stress Benchmark</w:t>
        <w:br/>
        <w:t>Counterpart and Contract Semantics Closure Fixture — Version 0.12</w:t>
      </w:r>
    </w:p>
    <w:p>
      <w:pPr>
        <w:jc w:val="center"/>
      </w:pPr>
      <w:r>
        <w:rPr>
          <w:i/>
        </w:rPr>
        <w:t>Pre-Implementation Authority Patch • 31 August 2026</w:t>
      </w:r>
    </w:p>
    <w:p>
      <w:r>
        <w:rPr>
          <w:b/>
        </w:rPr>
        <w:t xml:space="preserve">Status: </w:t>
      </w:r>
      <w:r>
        <w:t xml:space="preserve">BENCHMARK-ONLY SEMANTIC CLOSURE. </w:t>
      </w:r>
      <w:r>
        <w:t>This fixture closes the five counterpart/contract gaps identified by v0.11. It does not alter canonical PV-PP theory, comparator objectives, stochastic severity, outcome metrics, or the primary seed set. It narrows or completes previously licensed benchmark actions solely so the finite action grammar is executable and auditable.</w:t>
      </w:r>
    </w:p>
    <w:p>
      <w:pPr>
        <w:pStyle w:val="Heading1"/>
      </w:pPr>
      <w:r>
        <w:t>1. Authority and Design Constraint</w:t>
      </w:r>
    </w:p>
    <w:p>
      <w:r>
        <w:t>The controlling source documents already establish proposal/acceptance separation, receipt pricing for boards, the 60-board S2 reservation price point, customer reserve thresholds, commitment persistence, and the sunk-cost rule. v0.11 found that five families remained incomplete only because the admissible parameter surface or counterpart resolution rule was broader than the frozen numerical semantics. This fixture closes those gaps by narrowing the v1.0 benchmark action surface to explicit contracts rather than interpolating unspecified economics.</w:t>
      </w:r>
    </w:p>
    <w:p>
      <w:r>
        <w:t>Anti-favoritism constraint: none of the rules below was selected from A/B/C comparative performance. Primary comparative execution remains prohibited until the Calibration Lock Record is issued.</w:t>
      </w:r>
    </w:p>
    <w:p>
      <w:pPr>
        <w:pStyle w:val="Heading1"/>
      </w:pPr>
      <w:r>
        <w:t>2. F1 — Standard S2 Capacity Reservation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7"/>
              </w:rPr>
              <w:t>Field</w:t>
            </w:r>
          </w:p>
        </w:tc>
        <w:tc>
          <w:tcPr>
            <w:tcW w:type="dxa" w:w="5083"/>
            <w:vAlign w:val="center"/>
          </w:tcPr>
          <w:p>
            <w:r>
              <w:rPr>
                <w:b/>
                <w:sz w:val="17"/>
              </w:rPr>
              <w:t>Frozen v1.0 rule</w:t>
            </w:r>
          </w:p>
        </w:tc>
      </w:tr>
      <w:tr>
        <w:tc>
          <w:tcPr>
            <w:tcW w:type="dxa" w:w="5083"/>
            <w:vAlign w:val="center"/>
          </w:tcPr>
          <w:p>
            <w:r>
              <w:rPr>
                <w:sz w:val="17"/>
              </w:rPr>
              <w:t>Action</w:t>
            </w:r>
          </w:p>
        </w:tc>
        <w:tc>
          <w:tcPr>
            <w:tcW w:type="dxa" w:w="5083"/>
            <w:vAlign w:val="center"/>
          </w:tcPr>
          <w:p>
            <w:r>
              <w:rPr>
                <w:sz w:val="17"/>
              </w:rPr>
              <w:t>M-RESERVE-S2</w:t>
            </w:r>
          </w:p>
        </w:tc>
      </w:tr>
      <w:tr>
        <w:tc>
          <w:tcPr>
            <w:tcW w:type="dxa" w:w="5083"/>
            <w:vAlign w:val="center"/>
          </w:tcPr>
          <w:p>
            <w:r>
              <w:rPr>
                <w:sz w:val="17"/>
              </w:rPr>
              <w:t>Quantity</w:t>
            </w:r>
          </w:p>
        </w:tc>
        <w:tc>
          <w:tcPr>
            <w:tcW w:type="dxa" w:w="5083"/>
            <w:vAlign w:val="center"/>
          </w:tcPr>
          <w:p>
            <w:r>
              <w:rPr>
                <w:sz w:val="17"/>
              </w:rPr>
              <w:t>Exactly 60 boards/week. Other quantities are not licensed in benchmark v1.0.</w:t>
            </w:r>
          </w:p>
        </w:tc>
      </w:tr>
      <w:tr>
        <w:tc>
          <w:tcPr>
            <w:tcW w:type="dxa" w:w="5083"/>
            <w:vAlign w:val="center"/>
          </w:tcPr>
          <w:p>
            <w:r>
              <w:rPr>
                <w:sz w:val="17"/>
              </w:rPr>
              <w:t>Window</w:t>
            </w:r>
          </w:p>
        </w:tc>
        <w:tc>
          <w:tcPr>
            <w:tcW w:type="dxa" w:w="5083"/>
            <w:vAlign w:val="center"/>
          </w:tcPr>
          <w:p>
            <w:r>
              <w:rPr>
                <w:sz w:val="17"/>
              </w:rPr>
              <w:t>Five consecutive periods beginning with the next period after acceptance.</w:t>
            </w:r>
          </w:p>
        </w:tc>
      </w:tr>
      <w:tr>
        <w:tc>
          <w:tcPr>
            <w:tcW w:type="dxa" w:w="5083"/>
            <w:vAlign w:val="center"/>
          </w:tcPr>
          <w:p>
            <w:r>
              <w:rPr>
                <w:sz w:val="17"/>
              </w:rPr>
              <w:t>Fee</w:t>
            </w:r>
          </w:p>
        </w:tc>
        <w:tc>
          <w:tcPr>
            <w:tcW w:type="dxa" w:w="5083"/>
            <w:vAlign w:val="center"/>
          </w:tcPr>
          <w:p>
            <w:r>
              <w:rPr>
                <w:sz w:val="17"/>
              </w:rPr>
              <w:t>$20k, paid by M at acceptance; nonrefundable and sunk.</w:t>
            </w:r>
          </w:p>
        </w:tc>
      </w:tr>
      <w:tr>
        <w:tc>
          <w:tcPr>
            <w:tcW w:type="dxa" w:w="5083"/>
            <w:vAlign w:val="center"/>
          </w:tcPr>
          <w:p>
            <w:r>
              <w:rPr>
                <w:sz w:val="17"/>
              </w:rPr>
              <w:t>S2 acceptance</w:t>
            </w:r>
          </w:p>
        </w:tc>
        <w:tc>
          <w:tcPr>
            <w:tcW w:type="dxa" w:w="5083"/>
            <w:vAlign w:val="center"/>
          </w:tcPr>
          <w:p>
            <w:r>
              <w:rPr>
                <w:sz w:val="17"/>
              </w:rPr>
              <w:t>Permitted only if S2 is active and at least 60 boards/week remain unencumbered for every period in the window. No counteroffer is generated by the world.</w:t>
            </w:r>
          </w:p>
        </w:tc>
      </w:tr>
      <w:tr>
        <w:tc>
          <w:tcPr>
            <w:tcW w:type="dxa" w:w="5083"/>
            <w:vAlign w:val="center"/>
          </w:tcPr>
          <w:p>
            <w:r>
              <w:rPr>
                <w:sz w:val="17"/>
              </w:rPr>
              <w:t>Effect</w:t>
            </w:r>
          </w:p>
        </w:tc>
        <w:tc>
          <w:tcPr>
            <w:tcW w:type="dxa" w:w="5083"/>
            <w:vAlign w:val="center"/>
          </w:tcPr>
          <w:p>
            <w:r>
              <w:rPr>
                <w:sz w:val="17"/>
              </w:rPr>
              <w:t>Creates a bilateral capacity commitment and protects the reserved 60 boards/week from later external encumbrance for the reservation window.</w:t>
            </w:r>
          </w:p>
        </w:tc>
      </w:tr>
      <w:tr>
        <w:tc>
          <w:tcPr>
            <w:tcW w:type="dxa" w:w="5083"/>
            <w:vAlign w:val="center"/>
          </w:tcPr>
          <w:p>
            <w:r>
              <w:rPr>
                <w:sz w:val="17"/>
              </w:rPr>
              <w:t>Expiry</w:t>
            </w:r>
          </w:p>
        </w:tc>
        <w:tc>
          <w:tcPr>
            <w:tcW w:type="dxa" w:w="5083"/>
            <w:vAlign w:val="center"/>
          </w:tcPr>
          <w:p>
            <w:r>
              <w:rPr>
                <w:sz w:val="17"/>
              </w:rPr>
              <w:t>Automatic after the fifth reserved period unless already cancelled under F4.</w:t>
            </w:r>
          </w:p>
        </w:tc>
      </w:tr>
    </w:tbl>
    <w:p>
      <w:r>
        <w:t>Rationale: v0.2 explicitly prices the 60-board/week reservation at $20k and v0.8 uses a five-period external reservation window. The fixture does not invent a proportional fee schedule or alternate duration pricing.</w:t>
      </w:r>
    </w:p>
    <w:p>
      <w:pPr>
        <w:pStyle w:val="Heading1"/>
      </w:pPr>
      <w:r>
        <w:t>3. F2 — Customer Renegotiation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7"/>
              </w:rPr>
              <w:t>Field</w:t>
            </w:r>
          </w:p>
        </w:tc>
        <w:tc>
          <w:tcPr>
            <w:tcW w:type="dxa" w:w="5083"/>
            <w:vAlign w:val="center"/>
          </w:tcPr>
          <w:p>
            <w:r>
              <w:rPr>
                <w:b/>
                <w:sz w:val="17"/>
              </w:rPr>
              <w:t>Frozen v1.0 rule</w:t>
            </w:r>
          </w:p>
        </w:tc>
      </w:tr>
      <w:tr>
        <w:tc>
          <w:tcPr>
            <w:tcW w:type="dxa" w:w="5083"/>
            <w:vAlign w:val="center"/>
          </w:tcPr>
          <w:p>
            <w:r>
              <w:rPr>
                <w:sz w:val="17"/>
              </w:rPr>
              <w:t>Action</w:t>
            </w:r>
          </w:p>
        </w:tc>
        <w:tc>
          <w:tcPr>
            <w:tcW w:type="dxa" w:w="5083"/>
            <w:vAlign w:val="center"/>
          </w:tcPr>
          <w:p>
            <w:r>
              <w:rPr>
                <w:sz w:val="17"/>
              </w:rPr>
              <w:t>M-RENEG-C</w:t>
            </w:r>
          </w:p>
        </w:tc>
      </w:tr>
      <w:tr>
        <w:tc>
          <w:tcPr>
            <w:tcW w:type="dxa" w:w="5083"/>
            <w:vAlign w:val="center"/>
          </w:tcPr>
          <w:p>
            <w:r>
              <w:rPr>
                <w:sz w:val="17"/>
              </w:rPr>
              <w:t>Scope</w:t>
            </w:r>
          </w:p>
        </w:tc>
        <w:tc>
          <w:tcPr>
            <w:tcW w:type="dxa" w:w="5083"/>
            <w:vAlign w:val="center"/>
          </w:tcPr>
          <w:p>
            <w:r>
              <w:rPr>
                <w:sz w:val="17"/>
              </w:rPr>
              <w:t>Current-period COM-CUST obligation only. Deadline-extension proposals are not licensed in v1.0.</w:t>
            </w:r>
          </w:p>
        </w:tc>
      </w:tr>
      <w:tr>
        <w:tc>
          <w:tcPr>
            <w:tcW w:type="dxa" w:w="5083"/>
            <w:vAlign w:val="center"/>
          </w:tcPr>
          <w:p>
            <w:r>
              <w:rPr>
                <w:sz w:val="17"/>
              </w:rPr>
              <w:t>Proposed quantity</w:t>
            </w:r>
          </w:p>
        </w:tc>
        <w:tc>
          <w:tcPr>
            <w:tcW w:type="dxa" w:w="5083"/>
            <w:vAlign w:val="center"/>
          </w:tcPr>
          <w:p>
            <w:r>
              <w:rPr>
                <w:sz w:val="17"/>
              </w:rPr>
              <w:t>Integer q in [60, 80] AM-40 units.</w:t>
            </w:r>
          </w:p>
        </w:tc>
      </w:tr>
      <w:tr>
        <w:tc>
          <w:tcPr>
            <w:tcW w:type="dxa" w:w="5083"/>
            <w:vAlign w:val="center"/>
          </w:tcPr>
          <w:p>
            <w:r>
              <w:rPr>
                <w:sz w:val="17"/>
              </w:rPr>
              <w:t>C acceptance</w:t>
            </w:r>
          </w:p>
        </w:tc>
        <w:tc>
          <w:tcPr>
            <w:tcW w:type="dxa" w:w="5083"/>
            <w:vAlign w:val="center"/>
          </w:tcPr>
          <w:p>
            <w:r>
              <w:rPr>
                <w:sz w:val="17"/>
              </w:rPr>
              <w:t>C accepts iff the relationship is active and its own PRE-state reserve R satisfies max(0, R + q - 80) &gt;= 40. Otherwise C rejects.</w:t>
            </w:r>
          </w:p>
        </w:tc>
      </w:tr>
      <w:tr>
        <w:tc>
          <w:tcPr>
            <w:tcW w:type="dxa" w:w="5083"/>
            <w:vAlign w:val="center"/>
          </w:tcPr>
          <w:p>
            <w:r>
              <w:rPr>
                <w:sz w:val="17"/>
              </w:rPr>
              <w:t>Effect if accepted</w:t>
            </w:r>
          </w:p>
        </w:tc>
        <w:tc>
          <w:tcPr>
            <w:tcW w:type="dxa" w:w="5083"/>
            <w:vAlign w:val="center"/>
          </w:tcPr>
          <w:p>
            <w:r>
              <w:rPr>
                <w:sz w:val="17"/>
              </w:rPr>
              <w:t>The named current-period accepted commitment becomes q. The difference 80-q is recorded as renegotiated reduction/customer concession, not production fulfillment. Physical demand remains 80 and reserve consumption remains 80.</w:t>
            </w:r>
          </w:p>
        </w:tc>
      </w:tr>
      <w:tr>
        <w:tc>
          <w:tcPr>
            <w:tcW w:type="dxa" w:w="5083"/>
            <w:vAlign w:val="center"/>
          </w:tcPr>
          <w:p>
            <w:r>
              <w:rPr>
                <w:sz w:val="17"/>
              </w:rPr>
              <w:t>Effect if rejected</w:t>
            </w:r>
          </w:p>
        </w:tc>
        <w:tc>
          <w:tcPr>
            <w:tcW w:type="dxa" w:w="5083"/>
            <w:vAlign w:val="center"/>
          </w:tcPr>
          <w:p>
            <w:r>
              <w:rPr>
                <w:sz w:val="17"/>
              </w:rPr>
              <w:t>Original 80-unit commitment remains in force.</w:t>
            </w:r>
          </w:p>
        </w:tc>
      </w:tr>
      <w:tr>
        <w:tc>
          <w:tcPr>
            <w:tcW w:type="dxa" w:w="5083"/>
            <w:vAlign w:val="center"/>
          </w:tcPr>
          <w:p>
            <w:r>
              <w:rPr>
                <w:sz w:val="17"/>
              </w:rPr>
              <w:t>Information</w:t>
            </w:r>
          </w:p>
        </w:tc>
        <w:tc>
          <w:tcPr>
            <w:tcW w:type="dxa" w:w="5083"/>
            <w:vAlign w:val="center"/>
          </w:tcPr>
          <w:p>
            <w:r>
              <w:rPr>
                <w:sz w:val="17"/>
              </w:rPr>
              <w:t>C uses its own reserve, which is legitimate C state; M need not know the exact reserve.</w:t>
            </w:r>
          </w:p>
        </w:tc>
      </w:tr>
    </w:tbl>
    <w:p>
      <w:r>
        <w:t>This rule operationalizes the already-frozen distinction between contractual breach and physical shortage. It also guarantees that renegotiation is sometimes acceptable and sometimes rejectable as required by v0.4, without giving M oracle access to C reserve.</w:t>
      </w:r>
    </w:p>
    <w:p>
      <w:pPr>
        <w:pStyle w:val="Heading1"/>
      </w:pPr>
      <w:r>
        <w:t>4. F3 — One-Period Supplier Orders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sz w:val="17"/>
              </w:rPr>
              <w:t>Supplier</w:t>
            </w:r>
          </w:p>
        </w:tc>
        <w:tc>
          <w:tcPr>
            <w:tcW w:type="dxa" w:w="2541"/>
            <w:vAlign w:val="center"/>
          </w:tcPr>
          <w:p>
            <w:r>
              <w:rPr>
                <w:b/>
                <w:sz w:val="17"/>
              </w:rPr>
              <w:t>Quantity and acceptance</w:t>
            </w:r>
          </w:p>
        </w:tc>
        <w:tc>
          <w:tcPr>
            <w:tcW w:type="dxa" w:w="2541"/>
            <w:vAlign w:val="center"/>
          </w:tcPr>
          <w:p>
            <w:r>
              <w:rPr>
                <w:b/>
                <w:sz w:val="17"/>
              </w:rPr>
              <w:t>Price/payment</w:t>
            </w:r>
          </w:p>
        </w:tc>
        <w:tc>
          <w:tcPr>
            <w:tcW w:type="dxa" w:w="2541"/>
            <w:vAlign w:val="center"/>
          </w:tcPr>
          <w:p>
            <w:r>
              <w:rPr>
                <w:b/>
                <w:sz w:val="17"/>
              </w:rPr>
              <w:t>Commitment effect</w:t>
            </w:r>
          </w:p>
        </w:tc>
      </w:tr>
      <w:tr>
        <w:tc>
          <w:tcPr>
            <w:tcW w:type="dxa" w:w="2541"/>
            <w:vAlign w:val="center"/>
          </w:tcPr>
          <w:p>
            <w:r>
              <w:rPr>
                <w:sz w:val="17"/>
              </w:rPr>
              <w:t>S1</w:t>
            </w:r>
          </w:p>
        </w:tc>
        <w:tc>
          <w:tcPr>
            <w:tcW w:type="dxa" w:w="2541"/>
            <w:vAlign w:val="center"/>
          </w:tcPr>
          <w:p>
            <w:r>
              <w:rPr>
                <w:sz w:val="17"/>
              </w:rPr>
              <w:t>Integer q in [0,90] for next-period delivery. S1 may accept iff active and q does not exceed its next-period unencumbered physical supply capability under current actual state.</w:t>
            </w:r>
          </w:p>
        </w:tc>
        <w:tc>
          <w:tcPr>
            <w:tcW w:type="dxa" w:w="2541"/>
            <w:vAlign w:val="center"/>
          </w:tcPr>
          <w:p>
            <w:r>
              <w:rPr>
                <w:sz w:val="17"/>
              </w:rPr>
              <w:t xml:space="preserve"> $2k per accepted board, paid by M on receipt.</w:t>
            </w:r>
          </w:p>
        </w:tc>
        <w:tc>
          <w:tcPr>
            <w:tcW w:type="dxa" w:w="2541"/>
            <w:vAlign w:val="center"/>
          </w:tcPr>
          <w:p>
            <w:r>
              <w:rPr>
                <w:sz w:val="17"/>
              </w:rPr>
              <w:t>Creates/updates the named next-period S1 supply commitment for q boards.</w:t>
            </w:r>
          </w:p>
        </w:tc>
      </w:tr>
      <w:tr>
        <w:tc>
          <w:tcPr>
            <w:tcW w:type="dxa" w:w="2541"/>
            <w:vAlign w:val="center"/>
          </w:tcPr>
          <w:p>
            <w:r>
              <w:rPr>
                <w:sz w:val="17"/>
              </w:rPr>
              <w:t>S2</w:t>
            </w:r>
          </w:p>
        </w:tc>
        <w:tc>
          <w:tcPr>
            <w:tcW w:type="dxa" w:w="2541"/>
            <w:vAlign w:val="center"/>
          </w:tcPr>
          <w:p>
            <w:r>
              <w:rPr>
                <w:sz w:val="17"/>
              </w:rPr>
              <w:t>Integer q &gt;=0 for next-period delivery. Requires qualified or conditionally approved S2. q may not exceed the applicable authorization cap (40 while conditional; otherwise current unencumbered physical capacity).</w:t>
            </w:r>
          </w:p>
        </w:tc>
        <w:tc>
          <w:tcPr>
            <w:tcW w:type="dxa" w:w="2541"/>
            <w:vAlign w:val="center"/>
          </w:tcPr>
          <w:p>
            <w:r>
              <w:rPr>
                <w:sz w:val="17"/>
              </w:rPr>
              <w:t xml:space="preserve"> $2.6k per accepted board, paid by M on receipt.</w:t>
            </w:r>
          </w:p>
        </w:tc>
        <w:tc>
          <w:tcPr>
            <w:tcW w:type="dxa" w:w="2541"/>
            <w:vAlign w:val="center"/>
          </w:tcPr>
          <w:p>
            <w:r>
              <w:rPr>
                <w:sz w:val="17"/>
              </w:rPr>
              <w:t>Creates the named next-period S2 supply commitment for q boards. Existing M reservation has priority over external encumbrance.</w:t>
            </w:r>
          </w:p>
        </w:tc>
      </w:tr>
    </w:tbl>
    <w:p>
      <w:r>
        <w:t>No advance purchase price, discount schedule, penalty schedule, or credit term is introduced. The already-frozen primary-fixture rule “paid on receipt” controls both supplier families.</w:t>
      </w:r>
    </w:p>
    <w:p>
      <w:pPr>
        <w:pStyle w:val="Heading1"/>
      </w:pPr>
      <w:r>
        <w:t>5. F4 — Cancellation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sz w:val="17"/>
              </w:rPr>
              <w:t>Eligible object</w:t>
            </w:r>
          </w:p>
        </w:tc>
        <w:tc>
          <w:tcPr>
            <w:tcW w:type="dxa" w:w="2541"/>
            <w:vAlign w:val="center"/>
          </w:tcPr>
          <w:p>
            <w:r>
              <w:rPr>
                <w:b/>
                <w:sz w:val="17"/>
              </w:rPr>
              <w:t>Timing</w:t>
            </w:r>
          </w:p>
        </w:tc>
        <w:tc>
          <w:tcPr>
            <w:tcW w:type="dxa" w:w="2541"/>
            <w:vAlign w:val="center"/>
          </w:tcPr>
          <w:p>
            <w:r>
              <w:rPr>
                <w:b/>
                <w:sz w:val="17"/>
              </w:rPr>
              <w:t>Release</w:t>
            </w:r>
          </w:p>
        </w:tc>
        <w:tc>
          <w:tcPr>
            <w:tcW w:type="dxa" w:w="2541"/>
            <w:vAlign w:val="center"/>
          </w:tcPr>
          <w:p>
            <w:r>
              <w:rPr>
                <w:b/>
                <w:sz w:val="17"/>
              </w:rPr>
              <w:t>Refund/remedy</w:t>
            </w:r>
          </w:p>
        </w:tc>
      </w:tr>
      <w:tr>
        <w:tc>
          <w:tcPr>
            <w:tcW w:type="dxa" w:w="2541"/>
            <w:vAlign w:val="center"/>
          </w:tcPr>
          <w:p>
            <w:r>
              <w:rPr>
                <w:sz w:val="17"/>
              </w:rPr>
              <w:t>Future S2 reservation</w:t>
            </w:r>
          </w:p>
        </w:tc>
        <w:tc>
          <w:tcPr>
            <w:tcW w:type="dxa" w:w="2541"/>
            <w:vAlign w:val="center"/>
          </w:tcPr>
          <w:p>
            <w:r>
              <w:rPr>
                <w:sz w:val="17"/>
              </w:rPr>
              <w:t>Before the first affected reserved period begins</w:t>
            </w:r>
          </w:p>
        </w:tc>
        <w:tc>
          <w:tcPr>
            <w:tcW w:type="dxa" w:w="2541"/>
            <w:vAlign w:val="center"/>
          </w:tcPr>
          <w:p>
            <w:r>
              <w:rPr>
                <w:sz w:val="17"/>
              </w:rPr>
              <w:t>Releases only future M-reserved S2 capacity</w:t>
            </w:r>
          </w:p>
        </w:tc>
        <w:tc>
          <w:tcPr>
            <w:tcW w:type="dxa" w:w="2541"/>
            <w:vAlign w:val="center"/>
          </w:tcPr>
          <w:p>
            <w:r>
              <w:rPr>
                <w:sz w:val="17"/>
              </w:rPr>
              <w:t>No refund of the $20k reservation fee.</w:t>
            </w:r>
          </w:p>
        </w:tc>
      </w:tr>
      <w:tr>
        <w:tc>
          <w:tcPr>
            <w:tcW w:type="dxa" w:w="2541"/>
            <w:vAlign w:val="center"/>
          </w:tcPr>
          <w:p>
            <w:r>
              <w:rPr>
                <w:sz w:val="17"/>
              </w:rPr>
              <w:t>Future S1/S2 order</w:t>
            </w:r>
          </w:p>
        </w:tc>
        <w:tc>
          <w:tcPr>
            <w:tcW w:type="dxa" w:w="2541"/>
            <w:vAlign w:val="center"/>
          </w:tcPr>
          <w:p>
            <w:r>
              <w:rPr>
                <w:sz w:val="17"/>
              </w:rPr>
              <w:t>Before delivery-period production/shipment execution begins</w:t>
            </w:r>
          </w:p>
        </w:tc>
        <w:tc>
          <w:tcPr>
            <w:tcW w:type="dxa" w:w="2541"/>
            <w:vAlign w:val="center"/>
          </w:tcPr>
          <w:p>
            <w:r>
              <w:rPr>
                <w:sz w:val="17"/>
              </w:rPr>
              <w:t>Releases the future supply commitment and associated future capacity allocation</w:t>
            </w:r>
          </w:p>
        </w:tc>
        <w:tc>
          <w:tcPr>
            <w:tcW w:type="dxa" w:w="2541"/>
            <w:vAlign w:val="center"/>
          </w:tcPr>
          <w:p>
            <w:r>
              <w:rPr>
                <w:sz w:val="17"/>
              </w:rPr>
              <w:t>No payment is due for undelivered boards; already received boards remain payable.</w:t>
            </w:r>
          </w:p>
        </w:tc>
      </w:tr>
      <w:tr>
        <w:tc>
          <w:tcPr>
            <w:tcW w:type="dxa" w:w="2541"/>
            <w:vAlign w:val="center"/>
          </w:tcPr>
          <w:p>
            <w:r>
              <w:rPr>
                <w:sz w:val="17"/>
              </w:rPr>
              <w:t>Active S2 qualification</w:t>
            </w:r>
          </w:p>
        </w:tc>
        <w:tc>
          <w:tcPr>
            <w:tcW w:type="dxa" w:w="2541"/>
            <w:vAlign w:val="center"/>
          </w:tcPr>
          <w:p>
            <w:r>
              <w:rPr>
                <w:sz w:val="17"/>
              </w:rPr>
              <w:t>Before the current period qualification stage begins</w:t>
            </w:r>
          </w:p>
        </w:tc>
        <w:tc>
          <w:tcPr>
            <w:tcW w:type="dxa" w:w="2541"/>
            <w:vAlign w:val="center"/>
          </w:tcPr>
          <w:p>
            <w:r>
              <w:rPr>
                <w:sz w:val="17"/>
              </w:rPr>
              <w:t>Stops future qualification stages and releases future engineering/test encumbrance</w:t>
            </w:r>
          </w:p>
        </w:tc>
        <w:tc>
          <w:tcPr>
            <w:tcW w:type="dxa" w:w="2541"/>
            <w:vAlign w:val="center"/>
          </w:tcPr>
          <w:p>
            <w:r>
              <w:rPr>
                <w:sz w:val="17"/>
              </w:rPr>
              <w:t>All launch/stage/tooling costs already paid remain sunk.</w:t>
            </w:r>
          </w:p>
        </w:tc>
      </w:tr>
      <w:tr>
        <w:tc>
          <w:tcPr>
            <w:tcW w:type="dxa" w:w="2541"/>
            <w:vAlign w:val="center"/>
          </w:tcPr>
          <w:p>
            <w:r>
              <w:rPr>
                <w:sz w:val="17"/>
              </w:rPr>
              <w:t>Executed/current-period transformation</w:t>
            </w:r>
          </w:p>
        </w:tc>
        <w:tc>
          <w:tcPr>
            <w:tcW w:type="dxa" w:w="2541"/>
            <w:vAlign w:val="center"/>
          </w:tcPr>
          <w:p>
            <w:r>
              <w:rPr>
                <w:sz w:val="17"/>
              </w:rPr>
              <w:t>Not cancellable</w:t>
            </w:r>
          </w:p>
        </w:tc>
        <w:tc>
          <w:tcPr>
            <w:tcW w:type="dxa" w:w="2541"/>
            <w:vAlign w:val="center"/>
          </w:tcPr>
          <w:p>
            <w:r>
              <w:rPr>
                <w:sz w:val="17"/>
              </w:rPr>
              <w:t>None</w:t>
            </w:r>
          </w:p>
        </w:tc>
        <w:tc>
          <w:tcPr>
            <w:tcW w:type="dxa" w:w="2541"/>
            <w:vAlign w:val="center"/>
          </w:tcPr>
          <w:p>
            <w:r>
              <w:rPr>
                <w:sz w:val="17"/>
              </w:rPr>
              <w:t>No retroactive reversal.</w:t>
            </w:r>
          </w:p>
        </w:tc>
      </w:tr>
    </w:tbl>
    <w:p>
      <w:r>
        <w:t>A cancellation action naming any other object or arriving after execution begins is invalid. This implements the existing rule that only releasable encumbrances are released and sunk costs remain sunk.</w:t>
      </w:r>
    </w:p>
    <w:p>
      <w:pPr>
        <w:pStyle w:val="Heading1"/>
      </w:pPr>
      <w:r>
        <w:t>6. F5 — Proposal Matching and Joint Acceptance</w:t>
      </w:r>
    </w:p>
    <w:p>
      <w:r>
        <w:t>Every bilateral proposal has a unique proposal ID, one-period validity window, exact terms, and named required acceptor. A counterpart ACCEPT or REJECT must reference the same live proposal ID. Silence at period close is rejection/expiry.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7"/>
              </w:rPr>
              <w:t>Rule</w:t>
            </w:r>
          </w:p>
        </w:tc>
        <w:tc>
          <w:tcPr>
            <w:tcW w:type="dxa" w:w="5083"/>
            <w:vAlign w:val="center"/>
          </w:tcPr>
          <w:p>
            <w:r>
              <w:rPr>
                <w:b/>
                <w:sz w:val="17"/>
              </w:rPr>
              <w:t>Frozen semantics</w:t>
            </w:r>
          </w:p>
        </w:tc>
      </w:tr>
      <w:tr>
        <w:tc>
          <w:tcPr>
            <w:tcW w:type="dxa" w:w="5083"/>
            <w:vAlign w:val="center"/>
          </w:tcPr>
          <w:p>
            <w:r>
              <w:rPr>
                <w:sz w:val="17"/>
              </w:rPr>
              <w:t>Reject</w:t>
            </w:r>
          </w:p>
        </w:tc>
        <w:tc>
          <w:tcPr>
            <w:tcW w:type="dxa" w:w="5083"/>
            <w:vAlign w:val="center"/>
          </w:tcPr>
          <w:p>
            <w:r>
              <w:rPr>
                <w:sz w:val="17"/>
              </w:rPr>
              <w:t>Always syntactically available to the named counterpart while the proposal is live.</w:t>
            </w:r>
          </w:p>
        </w:tc>
      </w:tr>
      <w:tr>
        <w:tc>
          <w:tcPr>
            <w:tcW w:type="dxa" w:w="5083"/>
            <w:vAlign w:val="center"/>
          </w:tcPr>
          <w:p>
            <w:r>
              <w:rPr>
                <w:sz w:val="17"/>
              </w:rPr>
              <w:t>Accept</w:t>
            </w:r>
          </w:p>
        </w:tc>
        <w:tc>
          <w:tcPr>
            <w:tcW w:type="dxa" w:w="5083"/>
            <w:vAlign w:val="center"/>
          </w:tcPr>
          <w:p>
            <w:r>
              <w:rPr>
                <w:sz w:val="17"/>
              </w:rPr>
              <w:t>Available only when the proposal terms satisfy the role-specific feasibility rule in F1-F3 (or another already-frozen action-specific acceptance rule).</w:t>
            </w:r>
          </w:p>
        </w:tc>
      </w:tr>
      <w:tr>
        <w:tc>
          <w:tcPr>
            <w:tcW w:type="dxa" w:w="5083"/>
            <w:vAlign w:val="center"/>
          </w:tcPr>
          <w:p>
            <w:r>
              <w:rPr>
                <w:sz w:val="17"/>
              </w:rPr>
              <w:t>Multiple proposals</w:t>
            </w:r>
          </w:p>
        </w:tc>
        <w:tc>
          <w:tcPr>
            <w:tcW w:type="dxa" w:w="5083"/>
            <w:vAlign w:val="center"/>
          </w:tcPr>
          <w:p>
            <w:r>
              <w:rPr>
                <w:sz w:val="17"/>
              </w:rPr>
              <w:t>Each proposal is evaluated independently for syntax/role feasibility, then shared-resource conflicts are resolved by the already-frozen neutral allocation rule.</w:t>
            </w:r>
          </w:p>
        </w:tc>
      </w:tr>
      <w:tr>
        <w:tc>
          <w:tcPr>
            <w:tcW w:type="dxa" w:w="5083"/>
            <w:vAlign w:val="center"/>
          </w:tcPr>
          <w:p>
            <w:r>
              <w:rPr>
                <w:sz w:val="17"/>
              </w:rPr>
              <w:t>Oracle expansion</w:t>
            </w:r>
          </w:p>
        </w:tc>
        <w:tc>
          <w:tcPr>
            <w:tcW w:type="dxa" w:w="5083"/>
            <w:vAlign w:val="center"/>
          </w:tcPr>
          <w:p>
            <w:r>
              <w:rPr>
                <w:sz w:val="17"/>
              </w:rPr>
              <w:t>O1/O2 may enumerate accepted joint transformations directly rather than communication microsteps, but each enumerated transformation must correspond to a proposal whose required acceptance is feasible under these rules.</w:t>
            </w:r>
          </w:p>
        </w:tc>
      </w:tr>
      <w:tr>
        <w:tc>
          <w:tcPr>
            <w:tcW w:type="dxa" w:w="5083"/>
            <w:vAlign w:val="center"/>
          </w:tcPr>
          <w:p>
            <w:r>
              <w:rPr>
                <w:sz w:val="17"/>
              </w:rPr>
              <w:t>Controller parity</w:t>
            </w:r>
          </w:p>
        </w:tc>
        <w:tc>
          <w:tcPr>
            <w:tcW w:type="dxa" w:w="5083"/>
            <w:vAlign w:val="center"/>
          </w:tcPr>
          <w:p>
            <w:r>
              <w:rPr>
                <w:sz w:val="17"/>
              </w:rPr>
              <w:t>The same proposal objects, acceptance feasibility, expiry, and resource-resolution rules apply to A, B, and C regimes.</w:t>
            </w:r>
          </w:p>
        </w:tc>
      </w:tr>
    </w:tbl>
    <w:p>
      <w:pPr>
        <w:pStyle w:val="Heading1"/>
      </w:pPr>
      <w:r>
        <w:t>7. Completeness Consequence</w:t>
      </w:r>
    </w:p>
    <w:p>
      <w:r>
        <w:t>With F1-F5 and the source-supported closures recorded in v0.11, the benchmark v1.0 action semantics are complete at the contract/transformation level for the modeled primary action families. “Complete” does not mean computationally cheap: integer quantities and joint action combinations can still cause O1/O2 to hit their frozen budgets, in which case the classification remains UNDETERMINED. PROVEN_INFEASIBLE remains permitted only after actual exhaustive search of the complete reachable grammar or a validated state/horizon-specific completeness certificate.</w:t>
      </w:r>
    </w:p>
    <w:p>
      <w:pPr>
        <w:pStyle w:val="Heading1"/>
      </w:pPr>
      <w:r>
        <w:t>8. Supersession and Non-Expansion Rule</w:t>
      </w:r>
    </w:p>
    <w:p>
      <w:r>
        <w:t>This document supersedes only the five open semantic findings listed in Action_Semantics_v011.docx. All other v0.1-v0.11 authority remains unchanged. If implementation encounters a conflict between this fixture and an earlier explicit numerical rule, the conflict must be surfaced and resolved by a new versioned patch; implementation may not silently interpolate, tune, or repair the rule.</w:t>
      </w:r>
    </w:p>
    <w:p>
      <w:pPr>
        <w:pStyle w:val="Heading1"/>
      </w:pPr>
      <w:r>
        <w:t>9. Pre-Lock Verification Requirements</w:t>
      </w:r>
    </w:p>
    <w:p>
      <w:pPr>
        <w:pStyle w:val="ListBullet"/>
      </w:pPr>
      <w:r>
        <w:t>V1 — Reject any S2 reservation other than exactly 60 boards/week for five periods and charge exactly $20k once on acceptance.</w:t>
      </w:r>
    </w:p>
    <w:p>
      <w:pPr>
        <w:pStyle w:val="ListBullet"/>
      </w:pPr>
      <w:r>
        <w:t>V2 — Demonstrate customer renegotiation acceptance at adequate reserve and rejection below the 40-unit post-period reserve boundary using the same proposal quantity.</w:t>
      </w:r>
    </w:p>
    <w:p>
      <w:pPr>
        <w:pStyle w:val="ListBullet"/>
      </w:pPr>
      <w:r>
        <w:t>V3 — Demonstrate S1 and S2 next-period order acceptance/rejection at their respective physical/authorization caps and receipt prices.</w:t>
      </w:r>
    </w:p>
    <w:p>
      <w:pPr>
        <w:pStyle w:val="ListBullet"/>
      </w:pPr>
      <w:r>
        <w:t>V4 — Demonstrate future-only cancellation release with no refund and no retroactive reversal.</w:t>
      </w:r>
    </w:p>
    <w:p>
      <w:pPr>
        <w:pStyle w:val="ListBullet"/>
      </w:pPr>
      <w:r>
        <w:t>V5 — Demonstrate exact proposal-ID matching, silence-as-rejection, and neutral shared-resource resolution.</w:t>
      </w:r>
    </w:p>
    <w:p>
      <w:pPr>
        <w:pStyle w:val="ListBullet"/>
      </w:pPr>
      <w:r>
        <w:t>V6 — Re-run the complete conformance suite and oracle completeness gate. No primary A/B/C outcome inspection is permitted during verification.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PV-PP Asterion Benchmark • Counterpart/Contract Fixture v0.12 • 31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