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PV-PP INTERNAL BENCHMARK PROGRAM</w:t>
      </w:r>
    </w:p>
    <w:p>
      <w:pPr>
        <w:pStyle w:val="Title"/>
        <w:jc w:val="center"/>
      </w:pPr>
      <w:r>
        <w:t>Integrated Multi-Agent Productive System Stress Benchmark</w:t>
      </w:r>
    </w:p>
    <w:p>
      <w:pPr>
        <w:jc w:val="center"/>
      </w:pPr>
      <w:r>
        <w:rPr>
          <w:b/>
          <w:sz w:val="26"/>
        </w:rPr>
        <w:t>Pre-Implementation Freeze Manifest - Version 1.0</w:t>
      </w:r>
    </w:p>
    <w:p>
      <w:pPr>
        <w:jc w:val="center"/>
      </w:pPr>
      <w:r>
        <w:t>Paper-Level Configuration Lock and Calibration-Only Implementation Authorization</w:t>
        <w:br/>
        <w:t>31 August 2026</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Field</w:t>
            </w:r>
          </w:p>
        </w:tc>
        <w:tc>
          <w:tcPr>
            <w:tcW w:type="dxa" w:w="5083"/>
            <w:vAlign w:val="top"/>
            <w:shd w:fill="D9E2F3"/>
          </w:tcPr>
          <w:p>
            <w:r/>
            <w:r>
              <w:rPr>
                <w:rFonts w:ascii="Aptos" w:hAnsi="Aptos"/>
                <w:b/>
                <w:sz w:val="15"/>
              </w:rPr>
              <w:t>Manifest declaration</w:t>
            </w:r>
          </w:p>
        </w:tc>
      </w:tr>
      <w:tr>
        <w:tc>
          <w:tcPr>
            <w:tcW w:type="dxa" w:w="5083"/>
            <w:vAlign w:val="top"/>
          </w:tcPr>
          <w:p>
            <w:r/>
            <w:r>
              <w:rPr>
                <w:rFonts w:ascii="Aptos" w:hAnsi="Aptos"/>
                <w:b w:val="0"/>
                <w:sz w:val="14"/>
              </w:rPr>
              <w:t>Freeze status</w:t>
            </w:r>
          </w:p>
        </w:tc>
        <w:tc>
          <w:tcPr>
            <w:tcW w:type="dxa" w:w="5083"/>
            <w:vAlign w:val="top"/>
          </w:tcPr>
          <w:p>
            <w:r/>
            <w:r>
              <w:rPr>
                <w:rFonts w:ascii="Aptos" w:hAnsi="Aptos"/>
                <w:b w:val="0"/>
                <w:sz w:val="14"/>
              </w:rPr>
              <w:t>PAPER ARCHITECTURE FROZEN for the Asterion benchmark at v1.0, subject only to explicit versioned correction.</w:t>
            </w:r>
          </w:p>
        </w:tc>
      </w:tr>
      <w:tr>
        <w:tc>
          <w:tcPr>
            <w:tcW w:type="dxa" w:w="5083"/>
            <w:vAlign w:val="top"/>
          </w:tcPr>
          <w:p>
            <w:r/>
            <w:r>
              <w:rPr>
                <w:rFonts w:ascii="Aptos" w:hAnsi="Aptos"/>
                <w:b w:val="0"/>
                <w:sz w:val="14"/>
              </w:rPr>
              <w:t>Authority to implement</w:t>
            </w:r>
          </w:p>
        </w:tc>
        <w:tc>
          <w:tcPr>
            <w:tcW w:type="dxa" w:w="5083"/>
            <w:vAlign w:val="top"/>
          </w:tcPr>
          <w:p>
            <w:r/>
            <w:r>
              <w:rPr>
                <w:rFonts w:ascii="Aptos" w:hAnsi="Aptos"/>
                <w:b w:val="0"/>
                <w:sz w:val="14"/>
              </w:rPr>
              <w:t>AUTHORIZED only for calibration, conformance, integrity, replay, and hand-fixture implementation described in this manifest.</w:t>
            </w:r>
          </w:p>
        </w:tc>
      </w:tr>
      <w:tr>
        <w:tc>
          <w:tcPr>
            <w:tcW w:type="dxa" w:w="5083"/>
            <w:vAlign w:val="top"/>
          </w:tcPr>
          <w:p>
            <w:r/>
            <w:r>
              <w:rPr>
                <w:rFonts w:ascii="Aptos" w:hAnsi="Aptos"/>
                <w:b w:val="0"/>
                <w:sz w:val="14"/>
              </w:rPr>
              <w:t>Primary comparative execution</w:t>
            </w:r>
          </w:p>
        </w:tc>
        <w:tc>
          <w:tcPr>
            <w:tcW w:type="dxa" w:w="5083"/>
            <w:vAlign w:val="top"/>
          </w:tcPr>
          <w:p>
            <w:r/>
            <w:r>
              <w:rPr>
                <w:rFonts w:ascii="Aptos" w:hAnsi="Aptos"/>
                <w:b w:val="0"/>
                <w:sz w:val="14"/>
              </w:rPr>
              <w:t>PROHIBITED until a separate Calibration Lock Record records measured compute ceiling, selected stochastic ensemble N, seed-file hash, implementation hashes, and passing conformance results.</w:t>
            </w:r>
          </w:p>
        </w:tc>
      </w:tr>
      <w:tr>
        <w:tc>
          <w:tcPr>
            <w:tcW w:type="dxa" w:w="5083"/>
            <w:vAlign w:val="top"/>
          </w:tcPr>
          <w:p>
            <w:r/>
            <w:r>
              <w:rPr>
                <w:rFonts w:ascii="Aptos" w:hAnsi="Aptos"/>
                <w:b w:val="0"/>
                <w:sz w:val="14"/>
              </w:rPr>
              <w:t>Controlling closure</w:t>
            </w:r>
          </w:p>
        </w:tc>
        <w:tc>
          <w:tcPr>
            <w:tcW w:type="dxa" w:w="5083"/>
            <w:vAlign w:val="top"/>
          </w:tcPr>
          <w:p>
            <w:r/>
            <w:r>
              <w:rPr>
                <w:rFonts w:ascii="Aptos" w:hAnsi="Aptos"/>
                <w:b w:val="0"/>
                <w:sz w:val="14"/>
              </w:rPr>
              <w:t>Pre-Freeze Closure Audit v0.9: READY FOR PRE-IMPLEMENTATION FREEZE MANIFEST; not ready for primary comparative execution.</w:t>
            </w:r>
          </w:p>
        </w:tc>
      </w:tr>
      <w:tr>
        <w:tc>
          <w:tcPr>
            <w:tcW w:type="dxa" w:w="5083"/>
            <w:vAlign w:val="top"/>
          </w:tcPr>
          <w:p>
            <w:r/>
            <w:r>
              <w:rPr>
                <w:rFonts w:ascii="Aptos" w:hAnsi="Aptos"/>
                <w:b w:val="0"/>
                <w:sz w:val="14"/>
              </w:rPr>
              <w:t>No-reopen principle</w:t>
            </w:r>
          </w:p>
        </w:tc>
        <w:tc>
          <w:tcPr>
            <w:tcW w:type="dxa" w:w="5083"/>
            <w:vAlign w:val="top"/>
          </w:tcPr>
          <w:p>
            <w:r/>
            <w:r>
              <w:rPr>
                <w:rFonts w:ascii="Aptos" w:hAnsi="Aptos"/>
                <w:b w:val="0"/>
                <w:sz w:val="14"/>
              </w:rPr>
              <w:t>Implementation may not silently alter world mechanisms, controller contracts, comparator weights, stochastic severity, information access, outcomes, or authority interpretation.</w:t>
            </w:r>
          </w:p>
        </w:tc>
      </w:tr>
    </w:tbl>
    <w:p>
      <w:pPr>
        <w:spacing w:after="20"/>
      </w:pPr>
    </w:p>
    <w:p>
      <w:pPr>
        <w:pStyle w:val="Heading1"/>
      </w:pPr>
      <w:r>
        <w:t>1. Purpose and Legal Effect Within the Benchmark Program</w:t>
      </w:r>
    </w:p>
    <w:p>
      <w:r>
        <w:t>This manifest converts the completed paper specification sequence into a reproducible implementation baseline. It does not claim that the benchmark has been empirically validated and it does not authorize the first A/B/C comparative run. Its function is narrower: identify the controlling documents, freeze their resolved rules, preserve authority boundaries, and define exactly what code may be built and executed before the final calibration lock.</w:t>
      </w:r>
    </w:p>
    <w:p>
      <w:r>
        <w:t>Any implementation behavior that conflicts with this manifest or its controlling documents is an implementation defect unless a new versioned paper patch explicitly changes the rule and a closure audit reauthorizes the baseline.</w:t>
      </w:r>
    </w:p>
    <w:p>
      <w:pPr>
        <w:pStyle w:val="Heading1"/>
      </w:pPr>
      <w:r>
        <w:t>2. Frozen Document Inventory and Hashes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shd w:fill="D9E2F3"/>
          </w:tcPr>
          <w:p>
            <w:r/>
            <w:r>
              <w:rPr>
                <w:rFonts w:ascii="Aptos" w:hAnsi="Aptos"/>
                <w:b/>
                <w:sz w:val="15"/>
              </w:rPr>
              <w:t>Ver.</w:t>
            </w:r>
          </w:p>
        </w:tc>
        <w:tc>
          <w:tcPr>
            <w:tcW w:type="dxa" w:w="2541"/>
            <w:vAlign w:val="top"/>
            <w:shd w:fill="D9E2F3"/>
          </w:tcPr>
          <w:p>
            <w:r/>
            <w:r>
              <w:rPr>
                <w:rFonts w:ascii="Aptos" w:hAnsi="Aptos"/>
                <w:b/>
                <w:sz w:val="15"/>
              </w:rPr>
              <w:t>Document</w:t>
            </w:r>
          </w:p>
        </w:tc>
        <w:tc>
          <w:tcPr>
            <w:tcW w:type="dxa" w:w="2541"/>
            <w:vAlign w:val="top"/>
            <w:shd w:fill="D9E2F3"/>
          </w:tcPr>
          <w:p>
            <w:r/>
            <w:r>
              <w:rPr>
                <w:rFonts w:ascii="Aptos" w:hAnsi="Aptos"/>
                <w:b/>
                <w:sz w:val="15"/>
              </w:rPr>
              <w:t>Filename</w:t>
            </w:r>
          </w:p>
        </w:tc>
        <w:tc>
          <w:tcPr>
            <w:tcW w:type="dxa" w:w="2541"/>
            <w:vAlign w:val="top"/>
            <w:shd w:fill="D9E2F3"/>
          </w:tcPr>
          <w:p>
            <w:r/>
            <w:r>
              <w:rPr>
                <w:rFonts w:ascii="Aptos" w:hAnsi="Aptos"/>
                <w:b/>
                <w:sz w:val="15"/>
              </w:rPr>
              <w:t>SHA-256</w:t>
            </w:r>
          </w:p>
        </w:tc>
      </w:tr>
      <w:tr>
        <w:tc>
          <w:tcPr>
            <w:tcW w:type="dxa" w:w="2541"/>
            <w:vAlign w:val="top"/>
          </w:tcPr>
          <w:p>
            <w:r/>
            <w:r>
              <w:rPr>
                <w:rFonts w:ascii="Aptos" w:hAnsi="Aptos"/>
                <w:b w:val="0"/>
                <w:sz w:val="14"/>
              </w:rPr>
              <w:t>v0.1</w:t>
            </w:r>
          </w:p>
        </w:tc>
        <w:tc>
          <w:tcPr>
            <w:tcW w:type="dxa" w:w="2541"/>
            <w:vAlign w:val="top"/>
          </w:tcPr>
          <w:p>
            <w:r/>
            <w:r>
              <w:rPr>
                <w:rFonts w:ascii="Aptos" w:hAnsi="Aptos"/>
                <w:b w:val="0"/>
                <w:sz w:val="14"/>
              </w:rPr>
              <w:t>Benchmark Design</w:t>
            </w:r>
          </w:p>
        </w:tc>
        <w:tc>
          <w:tcPr>
            <w:tcW w:type="dxa" w:w="2541"/>
            <w:vAlign w:val="top"/>
          </w:tcPr>
          <w:p>
            <w:r/>
            <w:r>
              <w:rPr>
                <w:rFonts w:ascii="Aptos" w:hAnsi="Aptos"/>
                <w:b w:val="0"/>
                <w:sz w:val="14"/>
              </w:rPr>
              <w:t>PVPP_Benchmark_Design_v0.1.docx</w:t>
            </w:r>
          </w:p>
        </w:tc>
        <w:tc>
          <w:tcPr>
            <w:tcW w:type="dxa" w:w="2541"/>
            <w:vAlign w:val="top"/>
          </w:tcPr>
          <w:p>
            <w:r/>
            <w:r>
              <w:rPr>
                <w:rFonts w:ascii="Aptos" w:hAnsi="Aptos"/>
                <w:b w:val="0"/>
                <w:sz w:val="14"/>
              </w:rPr>
              <w:t>46db70d63fa5b2084e9cab2741c714651cd821c37c33e49c096bf74a1ae825be</w:t>
            </w:r>
          </w:p>
        </w:tc>
      </w:tr>
      <w:tr>
        <w:tc>
          <w:tcPr>
            <w:tcW w:type="dxa" w:w="2541"/>
            <w:vAlign w:val="top"/>
          </w:tcPr>
          <w:p>
            <w:r/>
            <w:r>
              <w:rPr>
                <w:rFonts w:ascii="Aptos" w:hAnsi="Aptos"/>
                <w:b w:val="0"/>
                <w:sz w:val="14"/>
              </w:rPr>
              <w:t>v0.2</w:t>
            </w:r>
          </w:p>
        </w:tc>
        <w:tc>
          <w:tcPr>
            <w:tcW w:type="dxa" w:w="2541"/>
            <w:vAlign w:val="top"/>
          </w:tcPr>
          <w:p>
            <w:r/>
            <w:r>
              <w:rPr>
                <w:rFonts w:ascii="Aptos" w:hAnsi="Aptos"/>
                <w:b w:val="0"/>
                <w:sz w:val="14"/>
              </w:rPr>
              <w:t>World and State Specification</w:t>
            </w:r>
          </w:p>
        </w:tc>
        <w:tc>
          <w:tcPr>
            <w:tcW w:type="dxa" w:w="2541"/>
            <w:vAlign w:val="top"/>
          </w:tcPr>
          <w:p>
            <w:r/>
            <w:r>
              <w:rPr>
                <w:rFonts w:ascii="Aptos" w:hAnsi="Aptos"/>
                <w:b w:val="0"/>
                <w:sz w:val="14"/>
              </w:rPr>
              <w:t>World_State_v02.docx</w:t>
            </w:r>
          </w:p>
        </w:tc>
        <w:tc>
          <w:tcPr>
            <w:tcW w:type="dxa" w:w="2541"/>
            <w:vAlign w:val="top"/>
          </w:tcPr>
          <w:p>
            <w:r/>
            <w:r>
              <w:rPr>
                <w:rFonts w:ascii="Aptos" w:hAnsi="Aptos"/>
                <w:b w:val="0"/>
                <w:sz w:val="14"/>
              </w:rPr>
              <w:t>ae092b90bfea3028109cb2e4098ea966e2fb2fff0ca789651876214ae2e1a48f</w:t>
            </w:r>
          </w:p>
        </w:tc>
      </w:tr>
      <w:tr>
        <w:tc>
          <w:tcPr>
            <w:tcW w:type="dxa" w:w="2541"/>
            <w:vAlign w:val="top"/>
          </w:tcPr>
          <w:p>
            <w:r/>
            <w:r>
              <w:rPr>
                <w:rFonts w:ascii="Aptos" w:hAnsi="Aptos"/>
                <w:b w:val="0"/>
                <w:sz w:val="14"/>
              </w:rPr>
              <w:t>v0.3</w:t>
            </w:r>
          </w:p>
        </w:tc>
        <w:tc>
          <w:tcPr>
            <w:tcW w:type="dxa" w:w="2541"/>
            <w:vAlign w:val="top"/>
          </w:tcPr>
          <w:p>
            <w:r/>
            <w:r>
              <w:rPr>
                <w:rFonts w:ascii="Aptos" w:hAnsi="Aptos"/>
                <w:b w:val="0"/>
                <w:sz w:val="14"/>
              </w:rPr>
              <w:t>Information, Memory, and Observation Specification</w:t>
            </w:r>
          </w:p>
        </w:tc>
        <w:tc>
          <w:tcPr>
            <w:tcW w:type="dxa" w:w="2541"/>
            <w:vAlign w:val="top"/>
          </w:tcPr>
          <w:p>
            <w:r/>
            <w:r>
              <w:rPr>
                <w:rFonts w:ascii="Aptos" w:hAnsi="Aptos"/>
                <w:b w:val="0"/>
                <w:sz w:val="14"/>
              </w:rPr>
              <w:t>Info_Memory_Obs_v03.docx</w:t>
            </w:r>
          </w:p>
        </w:tc>
        <w:tc>
          <w:tcPr>
            <w:tcW w:type="dxa" w:w="2541"/>
            <w:vAlign w:val="top"/>
          </w:tcPr>
          <w:p>
            <w:r/>
            <w:r>
              <w:rPr>
                <w:rFonts w:ascii="Aptos" w:hAnsi="Aptos"/>
                <w:b w:val="0"/>
                <w:sz w:val="14"/>
              </w:rPr>
              <w:t>88f2923a5b03cd3b2047c9dff679c997d8a9f8fa9813e1cae2703ea706f94f1c</w:t>
            </w:r>
          </w:p>
        </w:tc>
      </w:tr>
      <w:tr>
        <w:tc>
          <w:tcPr>
            <w:tcW w:type="dxa" w:w="2541"/>
            <w:vAlign w:val="top"/>
          </w:tcPr>
          <w:p>
            <w:r/>
            <w:r>
              <w:rPr>
                <w:rFonts w:ascii="Aptos" w:hAnsi="Aptos"/>
                <w:b w:val="0"/>
                <w:sz w:val="14"/>
              </w:rPr>
              <w:t>v0.4</w:t>
            </w:r>
          </w:p>
        </w:tc>
        <w:tc>
          <w:tcPr>
            <w:tcW w:type="dxa" w:w="2541"/>
            <w:vAlign w:val="top"/>
          </w:tcPr>
          <w:p>
            <w:r/>
            <w:r>
              <w:rPr>
                <w:rFonts w:ascii="Aptos" w:hAnsi="Aptos"/>
                <w:b w:val="0"/>
                <w:sz w:val="14"/>
              </w:rPr>
              <w:t>Action, Transformation, and Event Specification</w:t>
            </w:r>
          </w:p>
        </w:tc>
        <w:tc>
          <w:tcPr>
            <w:tcW w:type="dxa" w:w="2541"/>
            <w:vAlign w:val="top"/>
          </w:tcPr>
          <w:p>
            <w:r/>
            <w:r>
              <w:rPr>
                <w:rFonts w:ascii="Aptos" w:hAnsi="Aptos"/>
                <w:b w:val="0"/>
                <w:sz w:val="14"/>
              </w:rPr>
              <w:t>Actions_Events_v04.docx</w:t>
            </w:r>
          </w:p>
        </w:tc>
        <w:tc>
          <w:tcPr>
            <w:tcW w:type="dxa" w:w="2541"/>
            <w:vAlign w:val="top"/>
          </w:tcPr>
          <w:p>
            <w:r/>
            <w:r>
              <w:rPr>
                <w:rFonts w:ascii="Aptos" w:hAnsi="Aptos"/>
                <w:b w:val="0"/>
                <w:sz w:val="14"/>
              </w:rPr>
              <w:t>7848ad49b974cf9ce4ff67682b681b0875c7a9eac48ee541c1f6a7f612628e47</w:t>
            </w:r>
          </w:p>
        </w:tc>
      </w:tr>
      <w:tr>
        <w:tc>
          <w:tcPr>
            <w:tcW w:type="dxa" w:w="2541"/>
            <w:vAlign w:val="top"/>
          </w:tcPr>
          <w:p>
            <w:r/>
            <w:r>
              <w:rPr>
                <w:rFonts w:ascii="Aptos" w:hAnsi="Aptos"/>
                <w:b w:val="0"/>
                <w:sz w:val="14"/>
              </w:rPr>
              <w:t>v0.5</w:t>
            </w:r>
          </w:p>
        </w:tc>
        <w:tc>
          <w:tcPr>
            <w:tcW w:type="dxa" w:w="2541"/>
            <w:vAlign w:val="top"/>
          </w:tcPr>
          <w:p>
            <w:r/>
            <w:r>
              <w:rPr>
                <w:rFonts w:ascii="Aptos" w:hAnsi="Aptos"/>
                <w:b w:val="0"/>
                <w:sz w:val="14"/>
              </w:rPr>
              <w:t>Controller Interface and Comparator Specification</w:t>
            </w:r>
          </w:p>
        </w:tc>
        <w:tc>
          <w:tcPr>
            <w:tcW w:type="dxa" w:w="2541"/>
            <w:vAlign w:val="top"/>
          </w:tcPr>
          <w:p>
            <w:r/>
            <w:r>
              <w:rPr>
                <w:rFonts w:ascii="Aptos" w:hAnsi="Aptos"/>
                <w:b w:val="0"/>
                <w:sz w:val="14"/>
              </w:rPr>
              <w:t>Controllers_v05.docx</w:t>
            </w:r>
          </w:p>
        </w:tc>
        <w:tc>
          <w:tcPr>
            <w:tcW w:type="dxa" w:w="2541"/>
            <w:vAlign w:val="top"/>
          </w:tcPr>
          <w:p>
            <w:r/>
            <w:r>
              <w:rPr>
                <w:rFonts w:ascii="Aptos" w:hAnsi="Aptos"/>
                <w:b w:val="0"/>
                <w:sz w:val="14"/>
              </w:rPr>
              <w:t>fc7fe6f177a981e12643cf8a9860a4ba4080971bde52957e0edc3838e124198a</w:t>
            </w:r>
          </w:p>
        </w:tc>
      </w:tr>
      <w:tr>
        <w:tc>
          <w:tcPr>
            <w:tcW w:type="dxa" w:w="2541"/>
            <w:vAlign w:val="top"/>
          </w:tcPr>
          <w:p>
            <w:r/>
            <w:r>
              <w:rPr>
                <w:rFonts w:ascii="Aptos" w:hAnsi="Aptos"/>
                <w:b w:val="0"/>
                <w:sz w:val="14"/>
              </w:rPr>
              <w:t>v0.6</w:t>
            </w:r>
          </w:p>
        </w:tc>
        <w:tc>
          <w:tcPr>
            <w:tcW w:type="dxa" w:w="2541"/>
            <w:vAlign w:val="top"/>
          </w:tcPr>
          <w:p>
            <w:r/>
            <w:r>
              <w:rPr>
                <w:rFonts w:ascii="Aptos" w:hAnsi="Aptos"/>
                <w:b w:val="0"/>
                <w:sz w:val="14"/>
              </w:rPr>
              <w:t>Outcome, Failure, and Ledger Specification</w:t>
            </w:r>
          </w:p>
        </w:tc>
        <w:tc>
          <w:tcPr>
            <w:tcW w:type="dxa" w:w="2541"/>
            <w:vAlign w:val="top"/>
          </w:tcPr>
          <w:p>
            <w:r/>
            <w:r>
              <w:rPr>
                <w:rFonts w:ascii="Aptos" w:hAnsi="Aptos"/>
                <w:b w:val="0"/>
                <w:sz w:val="14"/>
              </w:rPr>
              <w:t>Outcomes_Ledger_v06.docx</w:t>
            </w:r>
          </w:p>
        </w:tc>
        <w:tc>
          <w:tcPr>
            <w:tcW w:type="dxa" w:w="2541"/>
            <w:vAlign w:val="top"/>
          </w:tcPr>
          <w:p>
            <w:r/>
            <w:r>
              <w:rPr>
                <w:rFonts w:ascii="Aptos" w:hAnsi="Aptos"/>
                <w:b w:val="0"/>
                <w:sz w:val="14"/>
              </w:rPr>
              <w:t>c5bbae1b3adbd1eaeebe69e06b45e29d4d653f3ad2eceaf0ff36c51d0a97dbfc</w:t>
            </w:r>
          </w:p>
        </w:tc>
      </w:tr>
      <w:tr>
        <w:tc>
          <w:tcPr>
            <w:tcW w:type="dxa" w:w="2541"/>
            <w:vAlign w:val="top"/>
          </w:tcPr>
          <w:p>
            <w:r/>
            <w:r>
              <w:rPr>
                <w:rFonts w:ascii="Aptos" w:hAnsi="Aptos"/>
                <w:b w:val="0"/>
                <w:sz w:val="14"/>
              </w:rPr>
              <w:t>v0.7</w:t>
            </w:r>
          </w:p>
        </w:tc>
        <w:tc>
          <w:tcPr>
            <w:tcW w:type="dxa" w:w="2541"/>
            <w:vAlign w:val="top"/>
          </w:tcPr>
          <w:p>
            <w:r/>
            <w:r>
              <w:rPr>
                <w:rFonts w:ascii="Aptos" w:hAnsi="Aptos"/>
                <w:b w:val="0"/>
                <w:sz w:val="14"/>
              </w:rPr>
              <w:t>Paper-Only Consistency and Structural-Favoritism Audit</w:t>
            </w:r>
          </w:p>
        </w:tc>
        <w:tc>
          <w:tcPr>
            <w:tcW w:type="dxa" w:w="2541"/>
            <w:vAlign w:val="top"/>
          </w:tcPr>
          <w:p>
            <w:r/>
            <w:r>
              <w:rPr>
                <w:rFonts w:ascii="Aptos" w:hAnsi="Aptos"/>
                <w:b w:val="0"/>
                <w:sz w:val="14"/>
              </w:rPr>
              <w:t>Benchmark_Audit_v07.docx</w:t>
            </w:r>
          </w:p>
        </w:tc>
        <w:tc>
          <w:tcPr>
            <w:tcW w:type="dxa" w:w="2541"/>
            <w:vAlign w:val="top"/>
          </w:tcPr>
          <w:p>
            <w:r/>
            <w:r>
              <w:rPr>
                <w:rFonts w:ascii="Aptos" w:hAnsi="Aptos"/>
                <w:b w:val="0"/>
                <w:sz w:val="14"/>
              </w:rPr>
              <w:t>bf0a822fffb2d39fd6e71b16a0e499421dbdaa9a1fd33fc9dca96b75363238ca</w:t>
            </w:r>
          </w:p>
        </w:tc>
      </w:tr>
      <w:tr>
        <w:tc>
          <w:tcPr>
            <w:tcW w:type="dxa" w:w="2541"/>
            <w:vAlign w:val="top"/>
          </w:tcPr>
          <w:p>
            <w:r/>
            <w:r>
              <w:rPr>
                <w:rFonts w:ascii="Aptos" w:hAnsi="Aptos"/>
                <w:b w:val="0"/>
                <w:sz w:val="14"/>
              </w:rPr>
              <w:t>v0.8</w:t>
            </w:r>
          </w:p>
        </w:tc>
        <w:tc>
          <w:tcPr>
            <w:tcW w:type="dxa" w:w="2541"/>
            <w:vAlign w:val="top"/>
          </w:tcPr>
          <w:p>
            <w:r/>
            <w:r>
              <w:rPr>
                <w:rFonts w:ascii="Aptos" w:hAnsi="Aptos"/>
                <w:b w:val="0"/>
                <w:sz w:val="14"/>
              </w:rPr>
              <w:t>Pre-Freeze Resolution Addendum</w:t>
            </w:r>
          </w:p>
        </w:tc>
        <w:tc>
          <w:tcPr>
            <w:tcW w:type="dxa" w:w="2541"/>
            <w:vAlign w:val="top"/>
          </w:tcPr>
          <w:p>
            <w:r/>
            <w:r>
              <w:rPr>
                <w:rFonts w:ascii="Aptos" w:hAnsi="Aptos"/>
                <w:b w:val="0"/>
                <w:sz w:val="14"/>
              </w:rPr>
              <w:t>Resolution_Addendum_v08.docx</w:t>
            </w:r>
          </w:p>
        </w:tc>
        <w:tc>
          <w:tcPr>
            <w:tcW w:type="dxa" w:w="2541"/>
            <w:vAlign w:val="top"/>
          </w:tcPr>
          <w:p>
            <w:r/>
            <w:r>
              <w:rPr>
                <w:rFonts w:ascii="Aptos" w:hAnsi="Aptos"/>
                <w:b w:val="0"/>
                <w:sz w:val="14"/>
              </w:rPr>
              <w:t>378eab387e4f731320f9db3507a1b55239796ee54e729bc3fbf9aeea5c8c3a3a</w:t>
            </w:r>
          </w:p>
        </w:tc>
      </w:tr>
      <w:tr>
        <w:tc>
          <w:tcPr>
            <w:tcW w:type="dxa" w:w="2541"/>
            <w:vAlign w:val="top"/>
          </w:tcPr>
          <w:p>
            <w:r/>
            <w:r>
              <w:rPr>
                <w:rFonts w:ascii="Aptos" w:hAnsi="Aptos"/>
                <w:b w:val="0"/>
                <w:sz w:val="14"/>
              </w:rPr>
              <w:t>v0.8.1</w:t>
            </w:r>
          </w:p>
        </w:tc>
        <w:tc>
          <w:tcPr>
            <w:tcW w:type="dxa" w:w="2541"/>
            <w:vAlign w:val="top"/>
          </w:tcPr>
          <w:p>
            <w:r/>
            <w:r>
              <w:rPr>
                <w:rFonts w:ascii="Aptos" w:hAnsi="Aptos"/>
                <w:b w:val="0"/>
                <w:sz w:val="14"/>
              </w:rPr>
              <w:t>Calibration and Manual Trace Execution Record</w:t>
            </w:r>
          </w:p>
        </w:tc>
        <w:tc>
          <w:tcPr>
            <w:tcW w:type="dxa" w:w="2541"/>
            <w:vAlign w:val="top"/>
          </w:tcPr>
          <w:p>
            <w:r/>
            <w:r>
              <w:rPr>
                <w:rFonts w:ascii="Aptos" w:hAnsi="Aptos"/>
                <w:b w:val="0"/>
                <w:sz w:val="14"/>
              </w:rPr>
              <w:t>Calibration_Traces_v081.docx</w:t>
            </w:r>
          </w:p>
        </w:tc>
        <w:tc>
          <w:tcPr>
            <w:tcW w:type="dxa" w:w="2541"/>
            <w:vAlign w:val="top"/>
          </w:tcPr>
          <w:p>
            <w:r/>
            <w:r>
              <w:rPr>
                <w:rFonts w:ascii="Aptos" w:hAnsi="Aptos"/>
                <w:b w:val="0"/>
                <w:sz w:val="14"/>
              </w:rPr>
              <w:t>edb9e1463949b068251fb67a5e9ebb63cc59e5a84fb0434d2b41652d76e4fb73</w:t>
            </w:r>
          </w:p>
        </w:tc>
      </w:tr>
      <w:tr>
        <w:tc>
          <w:tcPr>
            <w:tcW w:type="dxa" w:w="2541"/>
            <w:vAlign w:val="top"/>
          </w:tcPr>
          <w:p>
            <w:r/>
            <w:r>
              <w:rPr>
                <w:rFonts w:ascii="Aptos" w:hAnsi="Aptos"/>
                <w:b w:val="0"/>
                <w:sz w:val="14"/>
              </w:rPr>
              <w:t>v0.9</w:t>
            </w:r>
          </w:p>
        </w:tc>
        <w:tc>
          <w:tcPr>
            <w:tcW w:type="dxa" w:w="2541"/>
            <w:vAlign w:val="top"/>
          </w:tcPr>
          <w:p>
            <w:r/>
            <w:r>
              <w:rPr>
                <w:rFonts w:ascii="Aptos" w:hAnsi="Aptos"/>
                <w:b w:val="0"/>
                <w:sz w:val="14"/>
              </w:rPr>
              <w:t>Pre-Freeze Closure Audit</w:t>
            </w:r>
          </w:p>
        </w:tc>
        <w:tc>
          <w:tcPr>
            <w:tcW w:type="dxa" w:w="2541"/>
            <w:vAlign w:val="top"/>
          </w:tcPr>
          <w:p>
            <w:r/>
            <w:r>
              <w:rPr>
                <w:rFonts w:ascii="Aptos" w:hAnsi="Aptos"/>
                <w:b w:val="0"/>
                <w:sz w:val="14"/>
              </w:rPr>
              <w:t>Closure_Audit_v09.docx</w:t>
            </w:r>
          </w:p>
        </w:tc>
        <w:tc>
          <w:tcPr>
            <w:tcW w:type="dxa" w:w="2541"/>
            <w:vAlign w:val="top"/>
          </w:tcPr>
          <w:p>
            <w:r/>
            <w:r>
              <w:rPr>
                <w:rFonts w:ascii="Aptos" w:hAnsi="Aptos"/>
                <w:b w:val="0"/>
                <w:sz w:val="14"/>
              </w:rPr>
              <w:t>5acbd469203dbd9e4806c51da8003e291d53b776f9e1e0f78462df7528da301c</w:t>
            </w:r>
          </w:p>
        </w:tc>
      </w:tr>
    </w:tbl>
    <w:p>
      <w:pPr>
        <w:spacing w:after="20"/>
      </w:pPr>
    </w:p>
    <w:p>
      <w:r>
        <w:t>The hashes above identify the exact local artifacts frozen by this manifest. Copies or renamed files are authoritative only if their SHA-256 digest matches the listed digest.</w:t>
      </w:r>
    </w:p>
    <w:p>
      <w:pPr>
        <w:pStyle w:val="Heading1"/>
      </w:pPr>
      <w:r>
        <w:t>3. Document Authority and Supersession Order</w:t>
      </w:r>
    </w:p>
    <w:p>
      <w:pPr>
        <w:spacing w:after="20"/>
        <w:ind w:left="317" w:hanging="259"/>
      </w:pPr>
      <w:r>
        <w:rPr>
          <w:b/>
        </w:rPr>
        <w:t xml:space="preserve">1. </w:t>
      </w:r>
      <w:r>
        <w:t>v0.1 defines benchmark purpose, Asterion scenario, comparison intent, anti-favoritism principles, and initial design framing.</w:t>
      </w:r>
    </w:p>
    <w:p>
      <w:pPr>
        <w:spacing w:after="20"/>
        <w:ind w:left="317" w:hanging="259"/>
      </w:pPr>
      <w:r>
        <w:rPr>
          <w:b/>
        </w:rPr>
        <w:t xml:space="preserve">2. </w:t>
      </w:r>
      <w:r>
        <w:t>v0.2 controls world/state ontology, agents, initial state, productive dependencies, commitments, encumbrances, viability thresholds, and benchmark-owned world fixtures except where v0.8 expressly resolves later open language.</w:t>
      </w:r>
    </w:p>
    <w:p>
      <w:pPr>
        <w:spacing w:after="20"/>
        <w:ind w:left="317" w:hanging="259"/>
      </w:pPr>
      <w:r>
        <w:rPr>
          <w:b/>
        </w:rPr>
        <w:t xml:space="preserve">3. </w:t>
      </w:r>
      <w:r>
        <w:t>v0.3 controls observations, evidence, provenance, memory, retrieval, K, PPP input surfaces, information isolation, and contaminated-substrate information governance, except v0.8 resolved parameters.</w:t>
      </w:r>
    </w:p>
    <w:p>
      <w:pPr>
        <w:spacing w:after="20"/>
        <w:ind w:left="317" w:hanging="259"/>
      </w:pPr>
      <w:r>
        <w:rPr>
          <w:b/>
        </w:rPr>
        <w:t xml:space="preserve">4. </w:t>
      </w:r>
      <w:r>
        <w:t>v0.4 controls action grammar, execution order, proposals, typed transformations, delayed events, feasibility, and event semantics, except v0.8 resolved parameters.</w:t>
      </w:r>
    </w:p>
    <w:p>
      <w:pPr>
        <w:spacing w:after="20"/>
        <w:ind w:left="317" w:hanging="259"/>
      </w:pPr>
      <w:r>
        <w:rPr>
          <w:b/>
        </w:rPr>
        <w:t xml:space="preserve">5. </w:t>
      </w:r>
      <w:r>
        <w:t>v0.5 controls controller interface, regime definitions, population design, parity principles, and comparator architecture, as completed/superseded by v0.8.</w:t>
      </w:r>
    </w:p>
    <w:p>
      <w:pPr>
        <w:spacing w:after="20"/>
        <w:ind w:left="317" w:hanging="259"/>
      </w:pPr>
      <w:r>
        <w:rPr>
          <w:b/>
        </w:rPr>
        <w:t xml:space="preserve">6. </w:t>
      </w:r>
      <w:r>
        <w:t>v0.6 controls external outcome measurement, ledgers, failure attribution, invalid-run treatment, aggregation, and negative-result preservation, as completed by v0.8.</w:t>
      </w:r>
    </w:p>
    <w:p>
      <w:pPr>
        <w:spacing w:after="20"/>
        <w:ind w:left="317" w:hanging="259"/>
      </w:pPr>
      <w:r>
        <w:rPr>
          <w:b/>
        </w:rPr>
        <w:t xml:space="preserve">7. </w:t>
      </w:r>
      <w:r>
        <w:t>v0.7 is an audit record, not a competing live specification. Findings closed by v0.8/v0.8.1/v0.9 remain historical evidence.</w:t>
      </w:r>
    </w:p>
    <w:p>
      <w:pPr>
        <w:spacing w:after="20"/>
        <w:ind w:left="317" w:hanging="259"/>
      </w:pPr>
      <w:r>
        <w:rPr>
          <w:b/>
        </w:rPr>
        <w:t xml:space="preserve">8. </w:t>
      </w:r>
      <w:r>
        <w:t>v0.8 is the controlling resolution addendum for B1-B12, H1-H9, and C1-C10 and supersedes earlier proposed/recommended/open wording on those issues.</w:t>
      </w:r>
    </w:p>
    <w:p>
      <w:pPr>
        <w:spacing w:after="20"/>
        <w:ind w:left="317" w:hanging="259"/>
      </w:pPr>
      <w:r>
        <w:rPr>
          <w:b/>
        </w:rPr>
        <w:t xml:space="preserve">9. </w:t>
      </w:r>
      <w:r>
        <w:t>v0.8.1 is the controlling paper verification record and implementation-assertion list for T1-T12.</w:t>
      </w:r>
    </w:p>
    <w:p>
      <w:pPr>
        <w:spacing w:after="20"/>
        <w:ind w:left="317" w:hanging="259"/>
      </w:pPr>
      <w:r>
        <w:rPr>
          <w:b/>
        </w:rPr>
        <w:t xml:space="preserve">10. </w:t>
      </w:r>
      <w:r>
        <w:t>v0.9 controls freeze sequencing: paper freeze first, calibration-only implementation second, Calibration Lock Record third, primary comparative execution last.</w:t>
      </w:r>
    </w:p>
    <w:p>
      <w:pPr>
        <w:pStyle w:val="Heading1"/>
      </w:pPr>
      <w:r>
        <w:t>4. Canonical PV-PP Authority Boundary</w:t>
      </w:r>
    </w:p>
    <w:p>
      <w:pPr>
        <w:pStyle w:val="ListBullet"/>
        <w:spacing w:after="20"/>
      </w:pPr>
      <w:r>
        <w:t>The benchmark instantiates the canonical Layer-2 decision architecture; it does not create a new PV-PP architecture.</w:t>
      </w:r>
    </w:p>
    <w:p>
      <w:pPr>
        <w:pStyle w:val="ListBullet"/>
        <w:spacing w:after="20"/>
      </w:pPr>
      <w:r>
        <w:t>The controlling operator order remains PPP -&gt; Phi -&gt; H -&gt; G -&gt; R -&gt; Graph/seed substrate -&gt; Pi -&gt; Pi-completeness validation -&gt; Constraints -&gt; Domain Framing -&gt; Adequacy -&gt; Sigma -&gt; epsilon.</w:t>
      </w:r>
    </w:p>
    <w:p>
      <w:pPr>
        <w:pStyle w:val="ListBullet"/>
        <w:spacing w:after="20"/>
      </w:pPr>
      <w:r>
        <w:t>No downstream stage may repair an upstream defect. Sigma is selection-only; epsilon is realization-side execution and may not re-rank or reinterpret selection.</w:t>
      </w:r>
    </w:p>
    <w:p>
      <w:pPr>
        <w:pStyle w:val="ListBullet"/>
        <w:spacing w:after="20"/>
      </w:pPr>
      <w:r>
        <w:t>Sigma standard selection, recovery-unavailable fallback, and terminal-infeasibility behavior are treated as canonical authority. Asterion-specific structural-override margins/classifications are benchmark fixtures inside that envelope.</w:t>
      </w:r>
    </w:p>
    <w:p>
      <w:pPr>
        <w:pStyle w:val="ListBullet"/>
        <w:spacing w:after="20"/>
      </w:pPr>
      <w:r>
        <w:t>Typed relational memory, contaminated-substrate statuses, benchmark retrieval limits, horizons, probabilities, scalar weights, PP thresholds, sample sizes, action slots, and computation limits are not universal PV-PP constants unless separately established by canonical authority.</w:t>
      </w:r>
    </w:p>
    <w:p>
      <w:pPr>
        <w:pStyle w:val="ListBullet"/>
        <w:spacing w:after="20"/>
      </w:pPr>
      <w:r>
        <w:t>Actual PP/world state remains distinct from PPP and controller belief. Evaluator recovery truth and oracle reachability are never controller inputs.</w:t>
      </w:r>
    </w:p>
    <w:p>
      <w:pPr>
        <w:pStyle w:val="Heading1"/>
      </w:pPr>
      <w:r>
        <w:t>5. Frozen World and Population Baseline</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Item</w:t>
            </w:r>
          </w:p>
        </w:tc>
        <w:tc>
          <w:tcPr>
            <w:tcW w:type="dxa" w:w="5083"/>
            <w:vAlign w:val="top"/>
            <w:shd w:fill="D9E2F3"/>
          </w:tcPr>
          <w:p>
            <w:r/>
            <w:r>
              <w:rPr>
                <w:rFonts w:ascii="Aptos" w:hAnsi="Aptos"/>
                <w:b/>
                <w:sz w:val="15"/>
              </w:rPr>
              <w:t>Frozen baseline</w:t>
            </w:r>
          </w:p>
        </w:tc>
      </w:tr>
      <w:tr>
        <w:tc>
          <w:tcPr>
            <w:tcW w:type="dxa" w:w="5083"/>
            <w:vAlign w:val="top"/>
          </w:tcPr>
          <w:p>
            <w:r/>
            <w:r>
              <w:rPr>
                <w:rFonts w:ascii="Aptos" w:hAnsi="Aptos"/>
                <w:b w:val="0"/>
                <w:sz w:val="14"/>
              </w:rPr>
              <w:t>World</w:t>
            </w:r>
          </w:p>
        </w:tc>
        <w:tc>
          <w:tcPr>
            <w:tcW w:type="dxa" w:w="5083"/>
            <w:vAlign w:val="top"/>
          </w:tcPr>
          <w:p>
            <w:r/>
            <w:r>
              <w:rPr>
                <w:rFonts w:ascii="Aptos" w:hAnsi="Aptos"/>
                <w:b w:val="0"/>
                <w:sz w:val="14"/>
              </w:rPr>
              <w:t>Asterion Actuator Network; discrete weekly periods; safety-critical electromechanical actuator module network.</w:t>
            </w:r>
          </w:p>
        </w:tc>
      </w:tr>
      <w:tr>
        <w:tc>
          <w:tcPr>
            <w:tcW w:type="dxa" w:w="5083"/>
            <w:vAlign w:val="top"/>
          </w:tcPr>
          <w:p>
            <w:r/>
            <w:r>
              <w:rPr>
                <w:rFonts w:ascii="Aptos" w:hAnsi="Aptos"/>
                <w:b w:val="0"/>
                <w:sz w:val="14"/>
              </w:rPr>
              <w:t>Economic agents</w:t>
            </w:r>
          </w:p>
        </w:tc>
        <w:tc>
          <w:tcPr>
            <w:tcW w:type="dxa" w:w="5083"/>
            <w:vAlign w:val="top"/>
          </w:tcPr>
          <w:p>
            <w:r/>
            <w:r>
              <w:rPr>
                <w:rFonts w:ascii="Aptos" w:hAnsi="Aptos"/>
                <w:b w:val="0"/>
                <w:sz w:val="14"/>
              </w:rPr>
              <w:t>M manufacturer; S1 incumbent electronics supplier; S2 alternate supplier; C aggregated customer; L lender; T logistics provider.</w:t>
            </w:r>
          </w:p>
        </w:tc>
      </w:tr>
      <w:tr>
        <w:tc>
          <w:tcPr>
            <w:tcW w:type="dxa" w:w="5083"/>
            <w:vAlign w:val="top"/>
          </w:tcPr>
          <w:p>
            <w:r/>
            <w:r>
              <w:rPr>
                <w:rFonts w:ascii="Aptos" w:hAnsi="Aptos"/>
                <w:b w:val="0"/>
                <w:sz w:val="14"/>
              </w:rPr>
              <w:t>Institution</w:t>
            </w:r>
          </w:p>
        </w:tc>
        <w:tc>
          <w:tcPr>
            <w:tcW w:type="dxa" w:w="5083"/>
            <w:vAlign w:val="top"/>
          </w:tcPr>
          <w:p>
            <w:r/>
            <w:r>
              <w:rPr>
                <w:rFonts w:ascii="Aptos" w:hAnsi="Aptos"/>
                <w:b w:val="0"/>
                <w:sz w:val="14"/>
              </w:rPr>
              <w:t>R certification institution; institutional process, not an economic controller competitor.</w:t>
            </w:r>
          </w:p>
        </w:tc>
      </w:tr>
      <w:tr>
        <w:tc>
          <w:tcPr>
            <w:tcW w:type="dxa" w:w="5083"/>
            <w:vAlign w:val="top"/>
          </w:tcPr>
          <w:p>
            <w:r/>
            <w:r>
              <w:rPr>
                <w:rFonts w:ascii="Aptos" w:hAnsi="Aptos"/>
                <w:b w:val="0"/>
                <w:sz w:val="14"/>
              </w:rPr>
              <w:t>Primary population</w:t>
            </w:r>
          </w:p>
        </w:tc>
        <w:tc>
          <w:tcPr>
            <w:tcW w:type="dxa" w:w="5083"/>
            <w:vAlign w:val="top"/>
          </w:tcPr>
          <w:p>
            <w:r/>
            <w:r>
              <w:rPr>
                <w:rFonts w:ascii="Aptos" w:hAnsi="Aptos"/>
                <w:b w:val="0"/>
                <w:sz w:val="14"/>
              </w:rPr>
              <w:t>Homogeneous A, B, and C economic-agent populations; each agent has separate private controller state.</w:t>
            </w:r>
          </w:p>
        </w:tc>
      </w:tr>
      <w:tr>
        <w:tc>
          <w:tcPr>
            <w:tcW w:type="dxa" w:w="5083"/>
            <w:vAlign w:val="top"/>
          </w:tcPr>
          <w:p>
            <w:r/>
            <w:r>
              <w:rPr>
                <w:rFonts w:ascii="Aptos" w:hAnsi="Aptos"/>
                <w:b w:val="0"/>
                <w:sz w:val="14"/>
              </w:rPr>
              <w:t>Secondary panel</w:t>
            </w:r>
          </w:p>
        </w:tc>
        <w:tc>
          <w:tcPr>
            <w:tcW w:type="dxa" w:w="5083"/>
            <w:vAlign w:val="top"/>
          </w:tcPr>
          <w:p>
            <w:r/>
            <w:r>
              <w:rPr>
                <w:rFonts w:ascii="Aptos" w:hAnsi="Aptos"/>
                <w:b w:val="0"/>
                <w:sz w:val="14"/>
              </w:rPr>
              <w:t>Focal-M sensitivity with M=A/B/C and S1/S2/C/L/T on one common frozen local counterpart policy; R unchanged.</w:t>
            </w:r>
          </w:p>
        </w:tc>
      </w:tr>
      <w:tr>
        <w:tc>
          <w:tcPr>
            <w:tcW w:type="dxa" w:w="5083"/>
            <w:vAlign w:val="top"/>
          </w:tcPr>
          <w:p>
            <w:r/>
            <w:r>
              <w:rPr>
                <w:rFonts w:ascii="Aptos" w:hAnsi="Aptos"/>
                <w:b w:val="0"/>
                <w:sz w:val="14"/>
              </w:rPr>
              <w:t>Initial demand/commitment</w:t>
            </w:r>
          </w:p>
        </w:tc>
        <w:tc>
          <w:tcPr>
            <w:tcW w:type="dxa" w:w="5083"/>
            <w:vAlign w:val="top"/>
          </w:tcPr>
          <w:p>
            <w:r/>
            <w:r>
              <w:rPr>
                <w:rFonts w:ascii="Aptos" w:hAnsi="Aptos"/>
                <w:b w:val="0"/>
                <w:sz w:val="14"/>
              </w:rPr>
              <w:t>C commitment 80 usable units/week.</w:t>
            </w:r>
          </w:p>
        </w:tc>
      </w:tr>
      <w:tr>
        <w:tc>
          <w:tcPr>
            <w:tcW w:type="dxa" w:w="5083"/>
            <w:vAlign w:val="top"/>
          </w:tcPr>
          <w:p>
            <w:r/>
            <w:r>
              <w:rPr>
                <w:rFonts w:ascii="Aptos" w:hAnsi="Aptos"/>
                <w:b w:val="0"/>
                <w:sz w:val="14"/>
              </w:rPr>
              <w:t>Key capacities</w:t>
            </w:r>
          </w:p>
        </w:tc>
        <w:tc>
          <w:tcPr>
            <w:tcW w:type="dxa" w:w="5083"/>
            <w:vAlign w:val="top"/>
          </w:tcPr>
          <w:p>
            <w:r/>
            <w:r>
              <w:rPr>
                <w:rFonts w:ascii="Aptos" w:hAnsi="Aptos"/>
                <w:b w:val="0"/>
                <w:sz w:val="14"/>
              </w:rPr>
              <w:t>M assembly/test 100; S1 90 boards/week initially; S2 latent 70; mechanical kits 95; normal freight 6 slots, expedite 2.</w:t>
            </w:r>
          </w:p>
        </w:tc>
      </w:tr>
      <w:tr>
        <w:tc>
          <w:tcPr>
            <w:tcW w:type="dxa" w:w="5083"/>
            <w:vAlign w:val="top"/>
          </w:tcPr>
          <w:p>
            <w:r/>
            <w:r>
              <w:rPr>
                <w:rFonts w:ascii="Aptos" w:hAnsi="Aptos"/>
                <w:b w:val="0"/>
                <w:sz w:val="14"/>
              </w:rPr>
              <w:t>Key M stocks</w:t>
            </w:r>
          </w:p>
        </w:tc>
        <w:tc>
          <w:tcPr>
            <w:tcW w:type="dxa" w:w="5083"/>
            <w:vAlign w:val="top"/>
          </w:tcPr>
          <w:p>
            <w:r/>
            <w:r>
              <w:rPr>
                <w:rFonts w:ascii="Aptos" w:hAnsi="Aptos"/>
                <w:b w:val="0"/>
                <w:sz w:val="14"/>
              </w:rPr>
              <w:t>160 S1 boards; 150 kits; 20 finished units; $420k cash; $500k undrawn credit.</w:t>
            </w:r>
          </w:p>
        </w:tc>
      </w:tr>
      <w:tr>
        <w:tc>
          <w:tcPr>
            <w:tcW w:type="dxa" w:w="5083"/>
            <w:vAlign w:val="top"/>
          </w:tcPr>
          <w:p>
            <w:r/>
            <w:r>
              <w:rPr>
                <w:rFonts w:ascii="Aptos" w:hAnsi="Aptos"/>
                <w:b w:val="0"/>
                <w:sz w:val="14"/>
              </w:rPr>
              <w:t>S2 status</w:t>
            </w:r>
          </w:p>
        </w:tc>
        <w:tc>
          <w:tcPr>
            <w:tcW w:type="dxa" w:w="5083"/>
            <w:vAlign w:val="top"/>
          </w:tcPr>
          <w:p>
            <w:r/>
            <w:r>
              <w:rPr>
                <w:rFonts w:ascii="Aptos" w:hAnsi="Aptos"/>
                <w:b w:val="0"/>
                <w:sz w:val="14"/>
              </w:rPr>
              <w:t>Initially unqualified; normal four-stage qualification; emergency two-stage pathway only after R activation.</w:t>
            </w:r>
          </w:p>
        </w:tc>
      </w:tr>
      <w:tr>
        <w:tc>
          <w:tcPr>
            <w:tcW w:type="dxa" w:w="5083"/>
            <w:vAlign w:val="top"/>
          </w:tcPr>
          <w:p>
            <w:r/>
            <w:r>
              <w:rPr>
                <w:rFonts w:ascii="Aptos" w:hAnsi="Aptos"/>
                <w:b w:val="0"/>
                <w:sz w:val="14"/>
              </w:rPr>
              <w:t>Terminal product boundary</w:t>
            </w:r>
          </w:p>
        </w:tc>
        <w:tc>
          <w:tcPr>
            <w:tcW w:type="dxa" w:w="5083"/>
            <w:vAlign w:val="top"/>
          </w:tcPr>
          <w:p>
            <w:r/>
            <w:r>
              <w:rPr>
                <w:rFonts w:ascii="Aptos" w:hAnsi="Aptos"/>
                <w:b w:val="0"/>
                <w:sz w:val="14"/>
              </w:rPr>
              <w:t>C termination is irreversible for the primary AM-40 experiment; no alternate customer market is introduced in v1.0.</w:t>
            </w:r>
          </w:p>
        </w:tc>
      </w:tr>
    </w:tbl>
    <w:p>
      <w:pPr>
        <w:spacing w:after="20"/>
      </w:pPr>
    </w:p>
    <w:p>
      <w:pPr>
        <w:pStyle w:val="Heading1"/>
      </w:pPr>
      <w:r>
        <w:t>6. Frozen Information and Memory Rules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Rule</w:t>
            </w:r>
          </w:p>
        </w:tc>
        <w:tc>
          <w:tcPr>
            <w:tcW w:type="dxa" w:w="5083"/>
            <w:vAlign w:val="top"/>
            <w:shd w:fill="D9E2F3"/>
          </w:tcPr>
          <w:p>
            <w:r/>
            <w:r>
              <w:rPr>
                <w:rFonts w:ascii="Aptos" w:hAnsi="Aptos"/>
                <w:b/>
                <w:sz w:val="15"/>
              </w:rPr>
              <w:t>Lock</w:t>
            </w:r>
          </w:p>
        </w:tc>
      </w:tr>
      <w:tr>
        <w:tc>
          <w:tcPr>
            <w:tcW w:type="dxa" w:w="5083"/>
            <w:vAlign w:val="top"/>
          </w:tcPr>
          <w:p>
            <w:r/>
            <w:r>
              <w:rPr>
                <w:rFonts w:ascii="Aptos" w:hAnsi="Aptos"/>
                <w:b w:val="0"/>
                <w:sz w:val="14"/>
              </w:rPr>
              <w:t>Pipeline</w:t>
            </w:r>
          </w:p>
        </w:tc>
        <w:tc>
          <w:tcPr>
            <w:tcW w:type="dxa" w:w="5083"/>
            <w:vAlign w:val="top"/>
          </w:tcPr>
          <w:p>
            <w:r/>
            <w:r>
              <w:rPr>
                <w:rFonts w:ascii="Aptos" w:hAnsi="Aptos"/>
                <w:b w:val="0"/>
                <w:sz w:val="14"/>
              </w:rPr>
              <w:t>World -&gt; observation events -&gt; stored memory -&gt; retrieval -&gt; K -&gt; present PPP -&gt; decision stack; these are not identities.</w:t>
            </w:r>
          </w:p>
        </w:tc>
      </w:tr>
      <w:tr>
        <w:tc>
          <w:tcPr>
            <w:tcW w:type="dxa" w:w="5083"/>
            <w:vAlign w:val="top"/>
          </w:tcPr>
          <w:p>
            <w:r/>
            <w:r>
              <w:rPr>
                <w:rFonts w:ascii="Aptos" w:hAnsi="Aptos"/>
                <w:b w:val="0"/>
                <w:sz w:val="14"/>
              </w:rPr>
              <w:t>Parity</w:t>
            </w:r>
          </w:p>
        </w:tc>
        <w:tc>
          <w:tcPr>
            <w:tcW w:type="dxa" w:w="5083"/>
            <w:vAlign w:val="top"/>
          </w:tcPr>
          <w:p>
            <w:r/>
            <w:r>
              <w:rPr>
                <w:rFonts w:ascii="Aptos" w:hAnsi="Aptos"/>
                <w:b w:val="0"/>
                <w:sz w:val="14"/>
              </w:rPr>
              <w:t>For matched histories, identical raw eligible evidence event IDs exist before controller-specific adaptation.</w:t>
            </w:r>
          </w:p>
        </w:tc>
      </w:tr>
      <w:tr>
        <w:tc>
          <w:tcPr>
            <w:tcW w:type="dxa" w:w="5083"/>
            <w:vAlign w:val="top"/>
          </w:tcPr>
          <w:p>
            <w:r/>
            <w:r>
              <w:rPr>
                <w:rFonts w:ascii="Aptos" w:hAnsi="Aptos"/>
                <w:b w:val="0"/>
                <w:sz w:val="14"/>
              </w:rPr>
              <w:t>No oracle</w:t>
            </w:r>
          </w:p>
        </w:tc>
        <w:tc>
          <w:tcPr>
            <w:tcW w:type="dxa" w:w="5083"/>
            <w:vAlign w:val="top"/>
          </w:tcPr>
          <w:p>
            <w:r/>
            <w:r>
              <w:rPr>
                <w:rFonts w:ascii="Aptos" w:hAnsi="Aptos"/>
                <w:b w:val="0"/>
                <w:sz w:val="14"/>
              </w:rPr>
              <w:t>No A/B/C controller receives actual hidden PP, future draws, evaluator recovery predicate, or oracle reachability.</w:t>
            </w:r>
          </w:p>
        </w:tc>
      </w:tr>
      <w:tr>
        <w:tc>
          <w:tcPr>
            <w:tcW w:type="dxa" w:w="5083"/>
            <w:vAlign w:val="top"/>
          </w:tcPr>
          <w:p>
            <w:r/>
            <w:r>
              <w:rPr>
                <w:rFonts w:ascii="Aptos" w:hAnsi="Aptos"/>
                <w:b w:val="0"/>
                <w:sz w:val="14"/>
              </w:rPr>
              <w:t>PV-PP memory</w:t>
            </w:r>
          </w:p>
        </w:tc>
        <w:tc>
          <w:tcPr>
            <w:tcW w:type="dxa" w:w="5083"/>
            <w:vAlign w:val="top"/>
          </w:tcPr>
          <w:p>
            <w:r/>
            <w:r>
              <w:rPr>
                <w:rFonts w:ascii="Aptos" w:hAnsi="Aptos"/>
                <w:b w:val="0"/>
                <w:sz w:val="14"/>
              </w:rPr>
              <w:t>Typed relational memory with provenance/freshness/scope; repeated same-source retrieval is not independent evidence.</w:t>
            </w:r>
          </w:p>
        </w:tc>
      </w:tr>
      <w:tr>
        <w:tc>
          <w:tcPr>
            <w:tcW w:type="dxa" w:w="5083"/>
            <w:vAlign w:val="top"/>
          </w:tcPr>
          <w:p>
            <w:r/>
            <w:r>
              <w:rPr>
                <w:rFonts w:ascii="Aptos" w:hAnsi="Aptos"/>
                <w:b w:val="0"/>
                <w:sz w:val="14"/>
              </w:rPr>
              <w:t>PV-PP retrieval target</w:t>
            </w:r>
          </w:p>
        </w:tc>
        <w:tc>
          <w:tcPr>
            <w:tcW w:type="dxa" w:w="5083"/>
            <w:vAlign w:val="top"/>
          </w:tcPr>
          <w:p>
            <w:r/>
            <w:r>
              <w:rPr>
                <w:rFonts w:ascii="Aptos" w:hAnsi="Aptos"/>
                <w:b w:val="0"/>
                <w:sz w:val="14"/>
              </w:rPr>
              <w:t>Maximum 12 memory episodes per decision plus up to 4 explicit correction-linked records, subject only to implementation conformance to the frozen rule.</w:t>
            </w:r>
          </w:p>
        </w:tc>
      </w:tr>
      <w:tr>
        <w:tc>
          <w:tcPr>
            <w:tcW w:type="dxa" w:w="5083"/>
            <w:vAlign w:val="top"/>
          </w:tcPr>
          <w:p>
            <w:r/>
            <w:r>
              <w:rPr>
                <w:rFonts w:ascii="Aptos" w:hAnsi="Aptos"/>
                <w:b w:val="0"/>
                <w:sz w:val="14"/>
              </w:rPr>
              <w:t>B history</w:t>
            </w:r>
          </w:p>
        </w:tc>
        <w:tc>
          <w:tcPr>
            <w:tcW w:type="dxa" w:w="5083"/>
            <w:vAlign w:val="top"/>
          </w:tcPr>
          <w:p>
            <w:r/>
            <w:r>
              <w:rPr>
                <w:rFonts w:ascii="Aptos" w:hAnsi="Aptos"/>
                <w:b w:val="0"/>
                <w:sz w:val="14"/>
              </w:rPr>
              <w:t>Persistent competent estimator over the same legitimate raw evidence; no oracle training/state.</w:t>
            </w:r>
          </w:p>
        </w:tc>
      </w:tr>
      <w:tr>
        <w:tc>
          <w:tcPr>
            <w:tcW w:type="dxa" w:w="5083"/>
            <w:vAlign w:val="top"/>
          </w:tcPr>
          <w:p>
            <w:r/>
            <w:r>
              <w:rPr>
                <w:rFonts w:ascii="Aptos" w:hAnsi="Aptos"/>
                <w:b w:val="0"/>
                <w:sz w:val="14"/>
              </w:rPr>
              <w:t>C history</w:t>
            </w:r>
          </w:p>
        </w:tc>
        <w:tc>
          <w:tcPr>
            <w:tcW w:type="dxa" w:w="5083"/>
            <w:vAlign w:val="top"/>
          </w:tcPr>
          <w:p>
            <w:r/>
            <w:r>
              <w:rPr>
                <w:rFonts w:ascii="Aptos" w:hAnsi="Aptos"/>
                <w:b w:val="0"/>
                <w:sz w:val="14"/>
              </w:rPr>
              <w:t>Current PRE plus frozen four-period recent-history summary; older history only where current authoritative record makes it relevant.</w:t>
            </w:r>
          </w:p>
        </w:tc>
      </w:tr>
      <w:tr>
        <w:tc>
          <w:tcPr>
            <w:tcW w:type="dxa" w:w="5083"/>
            <w:vAlign w:val="top"/>
          </w:tcPr>
          <w:p>
            <w:r/>
            <w:r>
              <w:rPr>
                <w:rFonts w:ascii="Aptos" w:hAnsi="Aptos"/>
                <w:b w:val="0"/>
                <w:sz w:val="14"/>
              </w:rPr>
              <w:t>Licensed structure</w:t>
            </w:r>
          </w:p>
        </w:tc>
        <w:tc>
          <w:tcPr>
            <w:tcW w:type="dxa" w:w="5083"/>
            <w:vAlign w:val="top"/>
          </w:tcPr>
          <w:p>
            <w:r/>
            <w:r>
              <w:rPr>
                <w:rFonts w:ascii="Aptos" w:hAnsi="Aptos"/>
                <w:b w:val="0"/>
                <w:sz w:val="14"/>
              </w:rPr>
              <w:t>Graph/Pi may use Active, Latent, Materially omitted, Uncertain, Fabricated, Blocked status governance. Truly unknown hidden paths may not be invented.</w:t>
            </w:r>
          </w:p>
        </w:tc>
      </w:tr>
      <w:tr>
        <w:tc>
          <w:tcPr>
            <w:tcW w:type="dxa" w:w="5083"/>
            <w:vAlign w:val="top"/>
          </w:tcPr>
          <w:p>
            <w:r/>
            <w:r>
              <w:rPr>
                <w:rFonts w:ascii="Aptos" w:hAnsi="Aptos"/>
                <w:b w:val="0"/>
                <w:sz w:val="14"/>
              </w:rPr>
              <w:t>Packet isolation</w:t>
            </w:r>
          </w:p>
        </w:tc>
        <w:tc>
          <w:tcPr>
            <w:tcW w:type="dxa" w:w="5083"/>
            <w:vAlign w:val="top"/>
          </w:tcPr>
          <w:p>
            <w:r/>
            <w:r>
              <w:rPr>
                <w:rFonts w:ascii="Aptos" w:hAnsi="Aptos"/>
                <w:b w:val="0"/>
                <w:sz w:val="14"/>
              </w:rPr>
              <w:t>PRE only enters controller; POST and ORACLE remain inaccessible during decision.</w:t>
            </w:r>
          </w:p>
        </w:tc>
      </w:tr>
    </w:tbl>
    <w:p>
      <w:pPr>
        <w:spacing w:after="20"/>
      </w:pPr>
    </w:p>
    <w:p>
      <w:pPr>
        <w:pStyle w:val="Heading1"/>
      </w:pPr>
      <w:r>
        <w:t>7. Frozen Period Execution and Action Rules</w:t>
      </w:r>
    </w:p>
    <w:p>
      <w:pPr>
        <w:pStyle w:val="ListBullet"/>
        <w:spacing w:after="20"/>
      </w:pPr>
      <w:r>
        <w:t>Persistent commitments/encumbrances/queues/delayed records carry forward before new events.</w:t>
      </w:r>
    </w:p>
    <w:p>
      <w:pPr>
        <w:pStyle w:val="ListBullet"/>
        <w:spacing w:after="20"/>
      </w:pPr>
      <w:r>
        <w:t>Exogenous hidden events occur before PRE observations; controllers then act on sealed PRE packets.</w:t>
      </w:r>
    </w:p>
    <w:p>
      <w:pPr>
        <w:pStyle w:val="ListBullet"/>
        <w:spacing w:after="20"/>
      </w:pPr>
      <w:r>
        <w:t>Actions are validated, proposals matched, shared resources neutrally resolved, actual feasibility checked, transformations realized, stochastic/delayed consequences processed, then POST and diagnostics generated.</w:t>
      </w:r>
    </w:p>
    <w:p>
      <w:pPr>
        <w:pStyle w:val="ListBullet"/>
        <w:spacing w:after="20"/>
      </w:pPr>
      <w:r>
        <w:t>Proposal is not commitment; commitment is not guaranteed execution; permission is not productive capability.</w:t>
      </w:r>
    </w:p>
    <w:p>
      <w:pPr>
        <w:pStyle w:val="ListBullet"/>
        <w:spacing w:after="20"/>
      </w:pPr>
      <w:r>
        <w:t>Common role-valid world action grammar is constructed before regime-specific search/pruning and its counts are logged.</w:t>
      </w:r>
    </w:p>
    <w:p>
      <w:pPr>
        <w:pStyle w:val="ListBullet"/>
        <w:spacing w:after="20"/>
      </w:pPr>
      <w:r>
        <w:t>All controllers submit current-period root actions only. A/B may internally project conditional multi-period plans, but future commitments arise only through explicit current world actions.</w:t>
      </w:r>
    </w:p>
    <w:p>
      <w:pPr>
        <w:pStyle w:val="ListBullet"/>
        <w:spacing w:after="20"/>
      </w:pPr>
      <w:r>
        <w:t>No same-period counteroffer loop. Each economic agent may issue up to two externally directed proposals plus one internal/physical action where the frozen role grammar permits.</w:t>
      </w:r>
    </w:p>
    <w:p>
      <w:pPr>
        <w:pStyle w:val="ListBullet"/>
        <w:spacing w:after="20"/>
      </w:pPr>
      <w:r>
        <w:t>World shared-resource allocation may not depend on controller identity.</w:t>
      </w:r>
    </w:p>
    <w:p>
      <w:pPr>
        <w:pStyle w:val="Heading1"/>
      </w:pPr>
      <w:r>
        <w:t>8. Frozen Controller Regimes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Regime</w:t>
            </w:r>
          </w:p>
        </w:tc>
        <w:tc>
          <w:tcPr>
            <w:tcW w:type="dxa" w:w="5083"/>
            <w:vAlign w:val="top"/>
            <w:shd w:fill="D9E2F3"/>
          </w:tcPr>
          <w:p>
            <w:r/>
            <w:r>
              <w:rPr>
                <w:rFonts w:ascii="Aptos" w:hAnsi="Aptos"/>
                <w:b/>
                <w:sz w:val="15"/>
              </w:rPr>
              <w:t>Frozen contract</w:t>
            </w:r>
          </w:p>
        </w:tc>
      </w:tr>
      <w:tr>
        <w:tc>
          <w:tcPr>
            <w:tcW w:type="dxa" w:w="5083"/>
            <w:vAlign w:val="top"/>
          </w:tcPr>
          <w:p>
            <w:r/>
            <w:r>
              <w:rPr>
                <w:rFonts w:ascii="Aptos" w:hAnsi="Aptos"/>
                <w:b w:val="0"/>
                <w:sz w:val="14"/>
              </w:rPr>
              <w:t>A - PV-PP</w:t>
            </w:r>
          </w:p>
        </w:tc>
        <w:tc>
          <w:tcPr>
            <w:tcW w:type="dxa" w:w="5083"/>
            <w:vAlign w:val="top"/>
          </w:tcPr>
          <w:p>
            <w:r/>
            <w:r>
              <w:rPr>
                <w:rFonts w:ascii="Aptos" w:hAnsi="Aptos"/>
                <w:b w:val="0"/>
                <w:sz w:val="14"/>
              </w:rPr>
              <w:t>Canonical stack order; licensed Graph/Pi substrate; Pi-completeness challenge; hard Constraints; heterogeneous Domain Framing; recovery-aware Adequacy; non-scalar Sigma; epsilon separate. Four-transition projection horizon.</w:t>
            </w:r>
          </w:p>
        </w:tc>
      </w:tr>
      <w:tr>
        <w:tc>
          <w:tcPr>
            <w:tcW w:type="dxa" w:w="5083"/>
            <w:vAlign w:val="top"/>
          </w:tcPr>
          <w:p>
            <w:r/>
            <w:r>
              <w:rPr>
                <w:rFonts w:ascii="Aptos" w:hAnsi="Aptos"/>
                <w:b w:val="0"/>
                <w:sz w:val="14"/>
              </w:rPr>
              <w:t>B - Scalar</w:t>
            </w:r>
          </w:p>
        </w:tc>
        <w:tc>
          <w:tcPr>
            <w:tcW w:type="dxa" w:w="5083"/>
            <w:vAlign w:val="top"/>
          </w:tcPr>
          <w:p>
            <w:r/>
            <w:r>
              <w:rPr>
                <w:rFonts w:ascii="Aptos" w:hAnsi="Aptos"/>
                <w:b w:val="0"/>
                <w:sz w:val="14"/>
              </w:rPr>
              <w:t>Competent constrained receding-horizon controller using same four-transition clock and public transition interface. Persistent non-oracular estimator. 75% expected normalized horizon loss + 25% CVaR(90%). B0 balanced plus B1-B4 frozen sensitivity transformations.</w:t>
            </w:r>
          </w:p>
        </w:tc>
      </w:tr>
      <w:tr>
        <w:tc>
          <w:tcPr>
            <w:tcW w:type="dxa" w:w="5083"/>
            <w:vAlign w:val="top"/>
          </w:tcPr>
          <w:p>
            <w:r/>
            <w:r>
              <w:rPr>
                <w:rFonts w:ascii="Aptos" w:hAnsi="Aptos"/>
                <w:b w:val="0"/>
                <w:sz w:val="14"/>
              </w:rPr>
              <w:t>C - Local</w:t>
            </w:r>
          </w:p>
        </w:tc>
        <w:tc>
          <w:tcPr>
            <w:tcW w:type="dxa" w:w="5083"/>
            <w:vAlign w:val="top"/>
          </w:tcPr>
          <w:p>
            <w:r/>
            <w:r>
              <w:rPr>
                <w:rFonts w:ascii="Aptos" w:hAnsi="Aptos"/>
                <w:b w:val="0"/>
                <w:sz w:val="14"/>
              </w:rPr>
              <w:t>Competent constrained current/local controller with role-specific ordered priorities, current PRE + four-period summary, weekly replanning, persistent commitments, no explicit full recovery-corridor optimizer.</w:t>
            </w:r>
          </w:p>
        </w:tc>
      </w:tr>
      <w:tr>
        <w:tc>
          <w:tcPr>
            <w:tcW w:type="dxa" w:w="5083"/>
            <w:vAlign w:val="top"/>
          </w:tcPr>
          <w:p>
            <w:r/>
            <w:r>
              <w:rPr>
                <w:rFonts w:ascii="Aptos" w:hAnsi="Aptos"/>
                <w:b w:val="0"/>
                <w:sz w:val="14"/>
              </w:rPr>
              <w:t>O1/O2</w:t>
            </w:r>
          </w:p>
        </w:tc>
        <w:tc>
          <w:tcPr>
            <w:tcW w:type="dxa" w:w="5083"/>
            <w:vAlign w:val="top"/>
          </w:tcPr>
          <w:p>
            <w:r/>
            <w:r>
              <w:rPr>
                <w:rFonts w:ascii="Aptos" w:hAnsi="Aptos"/>
                <w:b w:val="0"/>
                <w:sz w:val="14"/>
              </w:rPr>
              <w:t>Diagnostic only. O1 actual current state/no future draws; O2 actual state plus realized future trace. Never fair competitors and never controller-visible.</w:t>
            </w:r>
          </w:p>
        </w:tc>
      </w:tr>
    </w:tbl>
    <w:p>
      <w:pPr>
        <w:spacing w:after="20"/>
      </w:pPr>
    </w:p>
    <w:p>
      <w:pPr>
        <w:pStyle w:val="Heading1"/>
      </w:pPr>
      <w:r>
        <w:t>9. Frozen Scalar and Local Comparator Controls</w:t>
      </w:r>
    </w:p>
    <w:p>
      <w:r>
        <w:t>The exact role-specific B0 dimensions/weights and B1-B4 transformations in v0.8 Section 7 are frozen. The role-specific C priority orders in v0.8 Section 8 are frozen. They may be hand-tested for conformance but may not be tuned in response to primary PV-PP behavior.</w:t>
      </w:r>
    </w:p>
    <w:p>
      <w:pPr>
        <w:pStyle w:val="ListBullet"/>
        <w:spacing w:after="20"/>
      </w:pPr>
      <w:r>
        <w:t>Hard physical, legal, certification, cash-without-financing, and double-allocation constraints remain outside B soft loss.</w:t>
      </w:r>
    </w:p>
    <w:p>
      <w:pPr>
        <w:pStyle w:val="ListBullet"/>
        <w:spacing w:after="20"/>
      </w:pPr>
      <w:r>
        <w:t>B normalization is internal to B and does not imply PV-PP commensurability.</w:t>
      </w:r>
    </w:p>
    <w:p>
      <w:pPr>
        <w:pStyle w:val="ListBullet"/>
        <w:spacing w:after="20"/>
      </w:pPr>
      <w:r>
        <w:t>B terminal irreversible events use the frozen role dimension plus terminal increment specified in v0.8.</w:t>
      </w:r>
    </w:p>
    <w:p>
      <w:pPr>
        <w:pStyle w:val="ListBullet"/>
        <w:spacing w:after="20"/>
      </w:pPr>
      <w:r>
        <w:t>C may account for known delayed safety/quality risk at the current decision but does not solve the full multi-period recovery cascade.</w:t>
      </w:r>
    </w:p>
    <w:p>
      <w:pPr>
        <w:pStyle w:val="ListBullet"/>
        <w:spacing w:after="20"/>
      </w:pPr>
      <w:r>
        <w:t>Calm-world tests must permit C to perform competently; comparator weakness is an implementation failure, not evidence for PV-PP.</w:t>
      </w:r>
    </w:p>
    <w:p>
      <w:pPr>
        <w:pStyle w:val="Heading1"/>
      </w:pPr>
      <w:r>
        <w:t>10. Frozen Stochastic and Strategic Fixtures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Family</w:t>
            </w:r>
          </w:p>
        </w:tc>
        <w:tc>
          <w:tcPr>
            <w:tcW w:type="dxa" w:w="5083"/>
            <w:vAlign w:val="top"/>
            <w:shd w:fill="D9E2F3"/>
          </w:tcPr>
          <w:p>
            <w:r/>
            <w:r>
              <w:rPr>
                <w:rFonts w:ascii="Aptos" w:hAnsi="Aptos"/>
                <w:b/>
                <w:sz w:val="15"/>
              </w:rPr>
              <w:t>Frozen rule</w:t>
            </w:r>
          </w:p>
        </w:tc>
      </w:tr>
      <w:tr>
        <w:tc>
          <w:tcPr>
            <w:tcW w:type="dxa" w:w="5083"/>
            <w:vAlign w:val="top"/>
          </w:tcPr>
          <w:p>
            <w:r/>
            <w:r>
              <w:rPr>
                <w:rFonts w:ascii="Aptos" w:hAnsi="Aptos"/>
                <w:b w:val="0"/>
                <w:sz w:val="14"/>
              </w:rPr>
              <w:t>S1 stochastic onset</w:t>
            </w:r>
          </w:p>
        </w:tc>
        <w:tc>
          <w:tcPr>
            <w:tcW w:type="dxa" w:w="5083"/>
            <w:vAlign w:val="top"/>
          </w:tcPr>
          <w:p>
            <w:r/>
            <w:r>
              <w:rPr>
                <w:rFonts w:ascii="Aptos" w:hAnsi="Aptos"/>
                <w:b w:val="0"/>
                <w:sz w:val="14"/>
              </w:rPr>
              <w:t>Uniform over periods 3, 4, 5 in stochastic ensemble.</w:t>
            </w:r>
          </w:p>
        </w:tc>
      </w:tr>
      <w:tr>
        <w:tc>
          <w:tcPr>
            <w:tcW w:type="dxa" w:w="5083"/>
            <w:vAlign w:val="top"/>
          </w:tcPr>
          <w:p>
            <w:r/>
            <w:r>
              <w:rPr>
                <w:rFonts w:ascii="Aptos" w:hAnsi="Aptos"/>
                <w:b w:val="0"/>
                <w:sz w:val="14"/>
              </w:rPr>
              <w:t>Initial S1 severity</w:t>
            </w:r>
          </w:p>
        </w:tc>
        <w:tc>
          <w:tcPr>
            <w:tcW w:type="dxa" w:w="5083"/>
            <w:vAlign w:val="top"/>
          </w:tcPr>
          <w:p>
            <w:r/>
            <w:r>
              <w:rPr>
                <w:rFonts w:ascii="Aptos" w:hAnsi="Aptos"/>
                <w:b w:val="0"/>
                <w:sz w:val="14"/>
              </w:rPr>
              <w:t>Line decrement {10,15,20} and quality decrement {15,20,25}, each with probabilities {0.25,0.50,0.25}, independently event-keyed.</w:t>
            </w:r>
          </w:p>
        </w:tc>
      </w:tr>
      <w:tr>
        <w:tc>
          <w:tcPr>
            <w:tcW w:type="dxa" w:w="5083"/>
            <w:vAlign w:val="top"/>
          </w:tcPr>
          <w:p>
            <w:r/>
            <w:r>
              <w:rPr>
                <w:rFonts w:ascii="Aptos" w:hAnsi="Aptos"/>
                <w:b w:val="0"/>
                <w:sz w:val="14"/>
              </w:rPr>
              <w:t>Untreated deterioration</w:t>
            </w:r>
          </w:p>
        </w:tc>
        <w:tc>
          <w:tcPr>
            <w:tcW w:type="dxa" w:w="5083"/>
            <w:vAlign w:val="top"/>
          </w:tcPr>
          <w:p>
            <w:r/>
            <w:r>
              <w:rPr>
                <w:rFonts w:ascii="Aptos" w:hAnsi="Aptos"/>
                <w:b w:val="0"/>
                <w:sz w:val="14"/>
              </w:rPr>
              <w:t>Line {5,8,11}; quality {7,10,13}; probabilities {0.25,0.50,0.25}; v0.2 floors retained.</w:t>
            </w:r>
          </w:p>
        </w:tc>
      </w:tr>
      <w:tr>
        <w:tc>
          <w:tcPr>
            <w:tcW w:type="dxa" w:w="5083"/>
            <w:vAlign w:val="top"/>
          </w:tcPr>
          <w:p>
            <w:r/>
            <w:r>
              <w:rPr>
                <w:rFonts w:ascii="Aptos" w:hAnsi="Aptos"/>
                <w:b w:val="0"/>
                <w:sz w:val="14"/>
              </w:rPr>
              <w:t>S1 recovery realization</w:t>
            </w:r>
          </w:p>
        </w:tc>
        <w:tc>
          <w:tcPr>
            <w:tcW w:type="dxa" w:w="5083"/>
            <w:vAlign w:val="top"/>
          </w:tcPr>
          <w:p>
            <w:r/>
            <w:r>
              <w:rPr>
                <w:rFonts w:ascii="Aptos" w:hAnsi="Aptos"/>
                <w:b w:val="0"/>
                <w:sz w:val="14"/>
              </w:rPr>
              <w:t>Nominal +15 line/+20 quality when valid recovery action realizes; no extra primary efficacy randomness.</w:t>
            </w:r>
          </w:p>
        </w:tc>
      </w:tr>
      <w:tr>
        <w:tc>
          <w:tcPr>
            <w:tcW w:type="dxa" w:w="5083"/>
            <w:vAlign w:val="top"/>
          </w:tcPr>
          <w:p>
            <w:r/>
            <w:r>
              <w:rPr>
                <w:rFonts w:ascii="Aptos" w:hAnsi="Aptos"/>
                <w:b w:val="0"/>
                <w:sz w:val="14"/>
              </w:rPr>
              <w:t>Transport</w:t>
            </w:r>
          </w:p>
        </w:tc>
        <w:tc>
          <w:tcPr>
            <w:tcW w:type="dxa" w:w="5083"/>
            <w:vAlign w:val="top"/>
          </w:tcPr>
          <w:p>
            <w:r/>
            <w:r>
              <w:rPr>
                <w:rFonts w:ascii="Aptos" w:hAnsi="Aptos"/>
                <w:b w:val="0"/>
                <w:sz w:val="14"/>
              </w:rPr>
              <w:t>LOW .96; MEDIUM .90; HIGH .82 reliability under frozen congestion state.</w:t>
            </w:r>
          </w:p>
        </w:tc>
      </w:tr>
      <w:tr>
        <w:tc>
          <w:tcPr>
            <w:tcW w:type="dxa" w:w="5083"/>
            <w:vAlign w:val="top"/>
          </w:tcPr>
          <w:p>
            <w:r/>
            <w:r>
              <w:rPr>
                <w:rFonts w:ascii="Aptos" w:hAnsi="Aptos"/>
                <w:b w:val="0"/>
                <w:sz w:val="14"/>
              </w:rPr>
              <w:t>Shortcut rework</w:t>
            </w:r>
          </w:p>
        </w:tc>
        <w:tc>
          <w:tcPr>
            <w:tcW w:type="dxa" w:w="5083"/>
            <w:vAlign w:val="top"/>
          </w:tcPr>
          <w:p>
            <w:r/>
            <w:r>
              <w:rPr>
                <w:rFonts w:ascii="Aptos" w:hAnsi="Aptos"/>
                <w:b w:val="0"/>
                <w:sz w:val="14"/>
              </w:rPr>
              <w:t>8% field failure per shortcut-reworked board; delay uniform 2-4 periods.</w:t>
            </w:r>
          </w:p>
        </w:tc>
      </w:tr>
      <w:tr>
        <w:tc>
          <w:tcPr>
            <w:tcW w:type="dxa" w:w="5083"/>
            <w:vAlign w:val="top"/>
          </w:tcPr>
          <w:p>
            <w:r/>
            <w:r>
              <w:rPr>
                <w:rFonts w:ascii="Aptos" w:hAnsi="Aptos"/>
                <w:b w:val="0"/>
                <w:sz w:val="14"/>
              </w:rPr>
              <w:t>Full rework</w:t>
            </w:r>
          </w:p>
        </w:tc>
        <w:tc>
          <w:tcPr>
            <w:tcW w:type="dxa" w:w="5083"/>
            <w:vAlign w:val="top"/>
          </w:tcPr>
          <w:p>
            <w:r/>
            <w:r>
              <w:rPr>
                <w:rFonts w:ascii="Aptos" w:hAnsi="Aptos"/>
                <w:b w:val="0"/>
                <w:sz w:val="14"/>
              </w:rPr>
              <w:t>1.5% field failure; delay uniform 2-4 periods.</w:t>
            </w:r>
          </w:p>
        </w:tc>
      </w:tr>
      <w:tr>
        <w:tc>
          <w:tcPr>
            <w:tcW w:type="dxa" w:w="5083"/>
            <w:vAlign w:val="top"/>
          </w:tcPr>
          <w:p>
            <w:r/>
            <w:r>
              <w:rPr>
                <w:rFonts w:ascii="Aptos" w:hAnsi="Aptos"/>
                <w:b w:val="0"/>
                <w:sz w:val="14"/>
              </w:rPr>
              <w:t>S1 strategic message under material deterioration</w:t>
            </w:r>
          </w:p>
        </w:tc>
        <w:tc>
          <w:tcPr>
            <w:tcW w:type="dxa" w:w="5083"/>
            <w:vAlign w:val="top"/>
          </w:tcPr>
          <w:p>
            <w:r/>
            <w:r>
              <w:rPr>
                <w:rFonts w:ascii="Aptos" w:hAnsi="Aptos"/>
                <w:b w:val="0"/>
                <w:sz w:val="14"/>
              </w:rPr>
              <w:t>0.40 exact disclosure; 0.35 bounded temporary-issue wording; 0.25 optimistic ETA one week early, subject to authoritative-truth boundaries.</w:t>
            </w:r>
          </w:p>
        </w:tc>
      </w:tr>
      <w:tr>
        <w:tc>
          <w:tcPr>
            <w:tcW w:type="dxa" w:w="5083"/>
            <w:vAlign w:val="top"/>
          </w:tcPr>
          <w:p>
            <w:r/>
            <w:r>
              <w:rPr>
                <w:rFonts w:ascii="Aptos" w:hAnsi="Aptos"/>
                <w:b w:val="0"/>
                <w:sz w:val="14"/>
              </w:rPr>
              <w:t>S2 external opportunity disclosure</w:t>
            </w:r>
          </w:p>
        </w:tc>
        <w:tc>
          <w:tcPr>
            <w:tcW w:type="dxa" w:w="5083"/>
            <w:vAlign w:val="top"/>
          </w:tcPr>
          <w:p>
            <w:r/>
            <w:r>
              <w:rPr>
                <w:rFonts w:ascii="Aptos" w:hAnsi="Aptos"/>
                <w:b w:val="0"/>
                <w:sz w:val="14"/>
              </w:rPr>
              <w:t>After opportunity exists but before execution: 0.50 disclose opportunity risk; 0.50 state current capacity without volunteering future risk.</w:t>
            </w:r>
          </w:p>
        </w:tc>
      </w:tr>
      <w:tr>
        <w:tc>
          <w:tcPr>
            <w:tcW w:type="dxa" w:w="5083"/>
            <w:vAlign w:val="top"/>
          </w:tcPr>
          <w:p>
            <w:r/>
            <w:r>
              <w:rPr>
                <w:rFonts w:ascii="Aptos" w:hAnsi="Aptos"/>
                <w:b w:val="0"/>
                <w:sz w:val="14"/>
              </w:rPr>
              <w:t>Random coupling</w:t>
            </w:r>
          </w:p>
        </w:tc>
        <w:tc>
          <w:tcPr>
            <w:tcW w:type="dxa" w:w="5083"/>
            <w:vAlign w:val="top"/>
          </w:tcPr>
          <w:p>
            <w:r/>
            <w:r>
              <w:rPr>
                <w:rFonts w:ascii="Aptos" w:hAnsi="Aptos"/>
                <w:b w:val="0"/>
                <w:sz w:val="14"/>
              </w:rPr>
              <w:t>Semantic event-keyed common random numbers; never call-order keyed.</w:t>
            </w:r>
          </w:p>
        </w:tc>
      </w:tr>
    </w:tbl>
    <w:p>
      <w:pPr>
        <w:spacing w:after="20"/>
      </w:pPr>
    </w:p>
    <w:p>
      <w:pPr>
        <w:pStyle w:val="Heading1"/>
      </w:pPr>
      <w:r>
        <w:t>11. Frozen Inspection, Qualification, Opportunity, and R Rules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Item</w:t>
            </w:r>
          </w:p>
        </w:tc>
        <w:tc>
          <w:tcPr>
            <w:tcW w:type="dxa" w:w="5083"/>
            <w:vAlign w:val="top"/>
            <w:shd w:fill="D9E2F3"/>
          </w:tcPr>
          <w:p>
            <w:r/>
            <w:r>
              <w:rPr>
                <w:rFonts w:ascii="Aptos" w:hAnsi="Aptos"/>
                <w:b/>
                <w:sz w:val="15"/>
              </w:rPr>
              <w:t>Frozen rule</w:t>
            </w:r>
          </w:p>
        </w:tc>
      </w:tr>
      <w:tr>
        <w:tc>
          <w:tcPr>
            <w:tcW w:type="dxa" w:w="5083"/>
            <w:vAlign w:val="top"/>
          </w:tcPr>
          <w:p>
            <w:r/>
            <w:r>
              <w:rPr>
                <w:rFonts w:ascii="Aptos" w:hAnsi="Aptos"/>
                <w:b w:val="0"/>
                <w:sz w:val="14"/>
              </w:rPr>
              <w:t>Incoming inspection</w:t>
            </w:r>
          </w:p>
        </w:tc>
        <w:tc>
          <w:tcPr>
            <w:tcW w:type="dxa" w:w="5083"/>
            <w:vAlign w:val="top"/>
          </w:tcPr>
          <w:p>
            <w:r/>
            <w:r>
              <w:rPr>
                <w:rFonts w:ascii="Aptos" w:hAnsi="Aptos"/>
                <w:b w:val="0"/>
                <w:sz w:val="14"/>
              </w:rPr>
              <w:t>Default 20% sample, minimum 5 for shipment &gt;=5; enhanced 50%, minimum 10; full containment 100% where authorized.</w:t>
            </w:r>
          </w:p>
        </w:tc>
      </w:tr>
      <w:tr>
        <w:tc>
          <w:tcPr>
            <w:tcW w:type="dxa" w:w="5083"/>
            <w:vAlign w:val="top"/>
          </w:tcPr>
          <w:p>
            <w:r/>
            <w:r>
              <w:rPr>
                <w:rFonts w:ascii="Aptos" w:hAnsi="Aptos"/>
                <w:b w:val="0"/>
                <w:sz w:val="14"/>
              </w:rPr>
              <w:t>Test performance</w:t>
            </w:r>
          </w:p>
        </w:tc>
        <w:tc>
          <w:tcPr>
            <w:tcW w:type="dxa" w:w="5083"/>
            <w:vAlign w:val="top"/>
          </w:tcPr>
          <w:p>
            <w:r/>
            <w:r>
              <w:rPr>
                <w:rFonts w:ascii="Aptos" w:hAnsi="Aptos"/>
                <w:b w:val="0"/>
                <w:sz w:val="14"/>
              </w:rPr>
              <w:t>Sensitivity .90; specificity .99.</w:t>
            </w:r>
          </w:p>
        </w:tc>
      </w:tr>
      <w:tr>
        <w:tc>
          <w:tcPr>
            <w:tcW w:type="dxa" w:w="5083"/>
            <w:vAlign w:val="top"/>
          </w:tcPr>
          <w:p>
            <w:r/>
            <w:r>
              <w:rPr>
                <w:rFonts w:ascii="Aptos" w:hAnsi="Aptos"/>
                <w:b w:val="0"/>
                <w:sz w:val="14"/>
              </w:rPr>
              <w:t>S2 stage sample</w:t>
            </w:r>
          </w:p>
        </w:tc>
        <w:tc>
          <w:tcPr>
            <w:tcW w:type="dxa" w:w="5083"/>
            <w:vAlign w:val="top"/>
          </w:tcPr>
          <w:p>
            <w:r/>
            <w:r>
              <w:rPr>
                <w:rFonts w:ascii="Aptos" w:hAnsi="Aptos"/>
                <w:b w:val="0"/>
                <w:sz w:val="14"/>
              </w:rPr>
              <w:t>20 boards per completed qualification stage.</w:t>
            </w:r>
          </w:p>
        </w:tc>
      </w:tr>
      <w:tr>
        <w:tc>
          <w:tcPr>
            <w:tcW w:type="dxa" w:w="5083"/>
            <w:vAlign w:val="top"/>
          </w:tcPr>
          <w:p>
            <w:r/>
            <w:r>
              <w:rPr>
                <w:rFonts w:ascii="Aptos" w:hAnsi="Aptos"/>
                <w:b w:val="0"/>
                <w:sz w:val="14"/>
              </w:rPr>
              <w:t>Stage failure</w:t>
            </w:r>
          </w:p>
        </w:tc>
        <w:tc>
          <w:tcPr>
            <w:tcW w:type="dxa" w:w="5083"/>
            <w:vAlign w:val="top"/>
          </w:tcPr>
          <w:p>
            <w:r/>
            <w:r>
              <w:rPr>
                <w:rFonts w:ascii="Aptos" w:hAnsi="Aptos"/>
                <w:b w:val="0"/>
                <w:sz w:val="14"/>
              </w:rPr>
              <w:t>Any safety-critical failure fails; noncritical stage fails if &gt;=2 detected defects.</w:t>
            </w:r>
          </w:p>
        </w:tc>
      </w:tr>
      <w:tr>
        <w:tc>
          <w:tcPr>
            <w:tcW w:type="dxa" w:w="5083"/>
            <w:vAlign w:val="top"/>
          </w:tcPr>
          <w:p>
            <w:r/>
            <w:r>
              <w:rPr>
                <w:rFonts w:ascii="Aptos" w:hAnsi="Aptos"/>
                <w:b w:val="0"/>
                <w:sz w:val="14"/>
              </w:rPr>
              <w:t>Normal S2 qualification</w:t>
            </w:r>
          </w:p>
        </w:tc>
        <w:tc>
          <w:tcPr>
            <w:tcW w:type="dxa" w:w="5083"/>
            <w:vAlign w:val="top"/>
          </w:tcPr>
          <w:p>
            <w:r/>
            <w:r>
              <w:rPr>
                <w:rFonts w:ascii="Aptos" w:hAnsi="Aptos"/>
                <w:b w:val="0"/>
                <w:sz w:val="14"/>
              </w:rPr>
              <w:t>Four completed stages + S2 quality PP &gt;=70 + no unresolved critical failure.</w:t>
            </w:r>
          </w:p>
        </w:tc>
      </w:tr>
      <w:tr>
        <w:tc>
          <w:tcPr>
            <w:tcW w:type="dxa" w:w="5083"/>
            <w:vAlign w:val="top"/>
          </w:tcPr>
          <w:p>
            <w:r/>
            <w:r>
              <w:rPr>
                <w:rFonts w:ascii="Aptos" w:hAnsi="Aptos"/>
                <w:b w:val="0"/>
                <w:sz w:val="14"/>
              </w:rPr>
              <w:t>Emergency qualification</w:t>
            </w:r>
          </w:p>
        </w:tc>
        <w:tc>
          <w:tcPr>
            <w:tcW w:type="dxa" w:w="5083"/>
            <w:vAlign w:val="top"/>
          </w:tcPr>
          <w:p>
            <w:r/>
            <w:r>
              <w:rPr>
                <w:rFonts w:ascii="Aptos" w:hAnsi="Aptos"/>
                <w:b w:val="0"/>
                <w:sz w:val="14"/>
              </w:rPr>
              <w:t>Two stages after R activation; same evidence rule; extra M test encumbrance; initial cap 40/week.</w:t>
            </w:r>
          </w:p>
        </w:tc>
      </w:tr>
      <w:tr>
        <w:tc>
          <w:tcPr>
            <w:tcW w:type="dxa" w:w="5083"/>
            <w:vAlign w:val="top"/>
          </w:tcPr>
          <w:p>
            <w:r/>
            <w:r>
              <w:rPr>
                <w:rFonts w:ascii="Aptos" w:hAnsi="Aptos"/>
                <w:b w:val="0"/>
                <w:sz w:val="14"/>
              </w:rPr>
              <w:t>Cap release</w:t>
            </w:r>
          </w:p>
        </w:tc>
        <w:tc>
          <w:tcPr>
            <w:tcW w:type="dxa" w:w="5083"/>
            <w:vAlign w:val="top"/>
          </w:tcPr>
          <w:p>
            <w:r/>
            <w:r>
              <w:rPr>
                <w:rFonts w:ascii="Aptos" w:hAnsi="Aptos"/>
                <w:b w:val="0"/>
                <w:sz w:val="14"/>
              </w:rPr>
              <w:t>One full delivered period with &gt;=20 S2 boards inspected/used and no confirmed critical failure, subject to R evidence.</w:t>
            </w:r>
          </w:p>
        </w:tc>
      </w:tr>
      <w:tr>
        <w:tc>
          <w:tcPr>
            <w:tcW w:type="dxa" w:w="5083"/>
            <w:vAlign w:val="top"/>
          </w:tcPr>
          <w:p>
            <w:r/>
            <w:r>
              <w:rPr>
                <w:rFonts w:ascii="Aptos" w:hAnsi="Aptos"/>
                <w:b w:val="0"/>
                <w:sz w:val="14"/>
              </w:rPr>
              <w:t>R emergency trigger</w:t>
            </w:r>
          </w:p>
        </w:tc>
        <w:tc>
          <w:tcPr>
            <w:tcW w:type="dxa" w:w="5083"/>
            <w:vAlign w:val="top"/>
          </w:tcPr>
          <w:p>
            <w:r/>
            <w:r>
              <w:rPr>
                <w:rFonts w:ascii="Aptos" w:hAnsi="Aptos"/>
                <w:b w:val="0"/>
                <w:sz w:val="14"/>
              </w:rPr>
              <w:t>Verified projected qualified-board availability below 60% of aggregate accepted committed requirement for two consecutive upcoming periods, or authoritative safety containment removes S1 eligibility. R uses its evidence, not controller/evaluator projections.</w:t>
            </w:r>
          </w:p>
        </w:tc>
      </w:tr>
      <w:tr>
        <w:tc>
          <w:tcPr>
            <w:tcW w:type="dxa" w:w="5083"/>
            <w:vAlign w:val="top"/>
          </w:tcPr>
          <w:p>
            <w:r/>
            <w:r>
              <w:rPr>
                <w:rFonts w:ascii="Aptos" w:hAnsi="Aptos"/>
                <w:b w:val="0"/>
                <w:sz w:val="14"/>
              </w:rPr>
              <w:t>S2 opportunity</w:t>
            </w:r>
          </w:p>
        </w:tc>
        <w:tc>
          <w:tcPr>
            <w:tcW w:type="dxa" w:w="5083"/>
            <w:vAlign w:val="top"/>
          </w:tcPr>
          <w:p>
            <w:r/>
            <w:r>
              <w:rPr>
                <w:rFonts w:ascii="Aptos" w:hAnsi="Aptos"/>
                <w:b w:val="0"/>
                <w:sz w:val="14"/>
              </w:rPr>
              <w:t>Appears to S2 at start period 6 in deterministic challenge. If no qualifying M reservation/contract by end period 7, 30/week capacity externally encumbered for five periods beginning period 8.</w:t>
            </w:r>
          </w:p>
        </w:tc>
      </w:tr>
      <w:tr>
        <w:tc>
          <w:tcPr>
            <w:tcW w:type="dxa" w:w="5083"/>
            <w:vAlign w:val="top"/>
          </w:tcPr>
          <w:p>
            <w:r/>
            <w:r>
              <w:rPr>
                <w:rFonts w:ascii="Aptos" w:hAnsi="Aptos"/>
                <w:b w:val="0"/>
                <w:sz w:val="14"/>
              </w:rPr>
              <w:t>Retrocausality</w:t>
            </w:r>
          </w:p>
        </w:tc>
        <w:tc>
          <w:tcPr>
            <w:tcW w:type="dxa" w:w="5083"/>
            <w:vAlign w:val="top"/>
          </w:tcPr>
          <w:p>
            <w:r/>
            <w:r>
              <w:rPr>
                <w:rFonts w:ascii="Aptos" w:hAnsi="Aptos"/>
                <w:b w:val="0"/>
                <w:sz w:val="14"/>
              </w:rPr>
              <w:t>Later disclosure/evidence never rewrites earlier PRE knowledge.</w:t>
            </w:r>
          </w:p>
        </w:tc>
      </w:tr>
    </w:tbl>
    <w:p>
      <w:pPr>
        <w:spacing w:after="20"/>
      </w:pPr>
    </w:p>
    <w:p>
      <w:pPr>
        <w:pStyle w:val="Heading1"/>
      </w:pPr>
      <w:r>
        <w:t>12. Frozen Outcome, Failure, and Statistical Rules</w:t>
      </w:r>
    </w:p>
    <w:p>
      <w:pPr>
        <w:pStyle w:val="ListBullet"/>
        <w:spacing w:after="20"/>
      </w:pPr>
      <w:r>
        <w:t>No universal benchmark score. Primary reporting is an external domain-native outcome vector.</w:t>
      </w:r>
    </w:p>
    <w:p>
      <w:pPr>
        <w:pStyle w:val="ListBullet"/>
        <w:spacing w:after="20"/>
      </w:pPr>
      <w:r>
        <w:t>PP is reported by named domain as initial/minimum/terminal/threshold-duration or other v0.6 measures; heterogeneous PP domains are not summed into one universal PP scalar.</w:t>
      </w:r>
    </w:p>
    <w:p>
      <w:pPr>
        <w:pStyle w:val="ListBullet"/>
        <w:spacing w:after="20"/>
      </w:pPr>
      <w:r>
        <w:t>Commitment breach, renegotiated shortfall, physical shortage, reserve depletion, quality escape, field failure, major event, cash/credit/covenant, encumbrance, adaptation cost, irreversible events, cascade structure, recovery, stabilization, and terminal state remain distinct typed outcomes.</w:t>
      </w:r>
    </w:p>
    <w:p>
      <w:pPr>
        <w:pStyle w:val="ListBullet"/>
        <w:spacing w:after="20"/>
      </w:pPr>
      <w:r>
        <w:t>Recovery is evaluated from actual post hoc state and remains controller-hidden.</w:t>
      </w:r>
    </w:p>
    <w:p>
      <w:pPr>
        <w:pStyle w:val="ListBullet"/>
        <w:spacing w:after="20"/>
      </w:pPr>
      <w:r>
        <w:t>Failure attribution follows the frozen ordered taxonomy: benchmark design; fixture/implementation; search; controller/policy; formalization gap; scalar sensitivity/reduction-local finding; architecture failure; ordinary unfavorable outcome; world infeasibility.</w:t>
      </w:r>
    </w:p>
    <w:p>
      <w:pPr>
        <w:pStyle w:val="ListBullet"/>
        <w:spacing w:after="20"/>
      </w:pPr>
      <w:r>
        <w:t>Architecture failure requires reproducible attribution after ruling out fixture/search/formalization defects. World infeasibility requires exhaustive/completeness-supported oracle diagnosis; otherwise UNDETERMINED.</w:t>
      </w:r>
    </w:p>
    <w:p>
      <w:pPr>
        <w:pStyle w:val="ListBullet"/>
        <w:spacing w:after="20"/>
      </w:pPr>
      <w:r>
        <w:t>Primary stochastic summaries use native-unit descriptive statistics and paired seed differences. 95% bootstrap percentile intervals use 10,000 seed-level resamples; secondary inferential checks and Holm correction follow v0.8.</w:t>
      </w:r>
    </w:p>
    <w:p>
      <w:pPr>
        <w:pStyle w:val="ListBullet"/>
        <w:spacing w:after="20"/>
      </w:pPr>
      <w:r>
        <w:t>Primary aggregation uses anonymous stable regime labels until tables/integrity checks are written. Negative, neutral, invalidated, and superseded runs remain in the ledger.</w:t>
      </w:r>
    </w:p>
    <w:p>
      <w:pPr>
        <w:pStyle w:val="Heading1"/>
      </w:pPr>
      <w:r>
        <w:t>13. Frozen Seed Recipe and Ensemble Calibration Rule</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Item</w:t>
            </w:r>
          </w:p>
        </w:tc>
        <w:tc>
          <w:tcPr>
            <w:tcW w:type="dxa" w:w="5083"/>
            <w:vAlign w:val="top"/>
            <w:shd w:fill="D9E2F3"/>
          </w:tcPr>
          <w:p>
            <w:r/>
            <w:r>
              <w:rPr>
                <w:rFonts w:ascii="Aptos" w:hAnsi="Aptos"/>
                <w:b/>
                <w:sz w:val="15"/>
              </w:rPr>
              <w:t>Freeze</w:t>
            </w:r>
          </w:p>
        </w:tc>
      </w:tr>
      <w:tr>
        <w:tc>
          <w:tcPr>
            <w:tcW w:type="dxa" w:w="5083"/>
            <w:vAlign w:val="top"/>
          </w:tcPr>
          <w:p>
            <w:r/>
            <w:r>
              <w:rPr>
                <w:rFonts w:ascii="Aptos" w:hAnsi="Aptos"/>
                <w:b w:val="0"/>
                <w:sz w:val="14"/>
              </w:rPr>
              <w:t>Namespace</w:t>
            </w:r>
          </w:p>
        </w:tc>
        <w:tc>
          <w:tcPr>
            <w:tcW w:type="dxa" w:w="5083"/>
            <w:vAlign w:val="top"/>
          </w:tcPr>
          <w:p>
            <w:r/>
            <w:r>
              <w:rPr>
                <w:rFonts w:ascii="Aptos" w:hAnsi="Aptos"/>
                <w:b w:val="0"/>
                <w:sz w:val="14"/>
              </w:rPr>
              <w:t>PVPP-ASTERION-PRIMARY-SEEDS-v1</w:t>
            </w:r>
          </w:p>
        </w:tc>
      </w:tr>
      <w:tr>
        <w:tc>
          <w:tcPr>
            <w:tcW w:type="dxa" w:w="5083"/>
            <w:vAlign w:val="top"/>
          </w:tcPr>
          <w:p>
            <w:r/>
            <w:r>
              <w:rPr>
                <w:rFonts w:ascii="Aptos" w:hAnsi="Aptos"/>
                <w:b w:val="0"/>
                <w:sz w:val="14"/>
              </w:rPr>
              <w:t>Generator</w:t>
            </w:r>
          </w:p>
        </w:tc>
        <w:tc>
          <w:tcPr>
            <w:tcW w:type="dxa" w:w="5083"/>
            <w:vAlign w:val="top"/>
          </w:tcPr>
          <w:p>
            <w:r/>
            <w:r>
              <w:rPr>
                <w:rFonts w:ascii="Aptos" w:hAnsi="Aptos"/>
                <w:b w:val="0"/>
                <w:sz w:val="14"/>
              </w:rPr>
              <w:t>For k=0..999, seed k = first 64 bits of SHA-256(namespace + ":" + decimal k), unsigned.</w:t>
            </w:r>
          </w:p>
        </w:tc>
      </w:tr>
      <w:tr>
        <w:tc>
          <w:tcPr>
            <w:tcW w:type="dxa" w:w="5083"/>
            <w:vAlign w:val="top"/>
          </w:tcPr>
          <w:p>
            <w:r/>
            <w:r>
              <w:rPr>
                <w:rFonts w:ascii="Aptos" w:hAnsi="Aptos"/>
                <w:b w:val="0"/>
                <w:sz w:val="14"/>
              </w:rPr>
              <w:t>Ordering</w:t>
            </w:r>
          </w:p>
        </w:tc>
        <w:tc>
          <w:tcPr>
            <w:tcW w:type="dxa" w:w="5083"/>
            <w:vAlign w:val="top"/>
          </w:tcPr>
          <w:p>
            <w:r/>
            <w:r>
              <w:rPr>
                <w:rFonts w:ascii="Aptos" w:hAnsi="Aptos"/>
                <w:b w:val="0"/>
                <w:sz w:val="14"/>
              </w:rPr>
              <w:t>Counter order; no sorting or post hoc selection.</w:t>
            </w:r>
          </w:p>
        </w:tc>
      </w:tr>
      <w:tr>
        <w:tc>
          <w:tcPr>
            <w:tcW w:type="dxa" w:w="5083"/>
            <w:vAlign w:val="top"/>
          </w:tcPr>
          <w:p>
            <w:r/>
            <w:r>
              <w:rPr>
                <w:rFonts w:ascii="Aptos" w:hAnsi="Aptos"/>
                <w:b w:val="0"/>
                <w:sz w:val="14"/>
              </w:rPr>
              <w:t>Primary seeds</w:t>
            </w:r>
          </w:p>
        </w:tc>
        <w:tc>
          <w:tcPr>
            <w:tcW w:type="dxa" w:w="5083"/>
            <w:vAlign w:val="top"/>
          </w:tcPr>
          <w:p>
            <w:r/>
            <w:r>
              <w:rPr>
                <w:rFonts w:ascii="Aptos" w:hAnsi="Aptos"/>
                <w:b w:val="0"/>
                <w:sz w:val="14"/>
              </w:rPr>
              <w:t>First N seeds only.</w:t>
            </w:r>
          </w:p>
        </w:tc>
      </w:tr>
      <w:tr>
        <w:tc>
          <w:tcPr>
            <w:tcW w:type="dxa" w:w="5083"/>
            <w:vAlign w:val="top"/>
          </w:tcPr>
          <w:p>
            <w:r/>
            <w:r>
              <w:rPr>
                <w:rFonts w:ascii="Aptos" w:hAnsi="Aptos"/>
                <w:b w:val="0"/>
                <w:sz w:val="14"/>
              </w:rPr>
              <w:t>Candidate N</w:t>
            </w:r>
          </w:p>
        </w:tc>
        <w:tc>
          <w:tcPr>
            <w:tcW w:type="dxa" w:w="5083"/>
            <w:vAlign w:val="top"/>
          </w:tcPr>
          <w:p>
            <w:r/>
            <w:r>
              <w:rPr>
                <w:rFonts w:ascii="Aptos" w:hAnsi="Aptos"/>
                <w:b w:val="0"/>
                <w:sz w:val="14"/>
              </w:rPr>
              <w:t>{100, 250, 500, 1000}.</w:t>
            </w:r>
          </w:p>
        </w:tc>
      </w:tr>
      <w:tr>
        <w:tc>
          <w:tcPr>
            <w:tcW w:type="dxa" w:w="5083"/>
            <w:vAlign w:val="top"/>
          </w:tcPr>
          <w:p>
            <w:r/>
            <w:r>
              <w:rPr>
                <w:rFonts w:ascii="Aptos" w:hAnsi="Aptos"/>
                <w:b w:val="0"/>
                <w:sz w:val="14"/>
              </w:rPr>
              <w:t>Selection</w:t>
            </w:r>
          </w:p>
        </w:tc>
        <w:tc>
          <w:tcPr>
            <w:tcW w:type="dxa" w:w="5083"/>
            <w:vAlign w:val="top"/>
          </w:tcPr>
          <w:p>
            <w:r/>
            <w:r>
              <w:rPr>
                <w:rFonts w:ascii="Aptos" w:hAnsi="Aptos"/>
                <w:b w:val="0"/>
                <w:sz w:val="14"/>
              </w:rPr>
              <w:t>Controller-free 1,000-seed event-generator calibration; choose smallest N meeting v0.8/v0.8.1 stability and rare-event-count rules.</w:t>
            </w:r>
          </w:p>
        </w:tc>
      </w:tr>
      <w:tr>
        <w:tc>
          <w:tcPr>
            <w:tcW w:type="dxa" w:w="5083"/>
            <w:vAlign w:val="top"/>
          </w:tcPr>
          <w:p>
            <w:r/>
            <w:r>
              <w:rPr>
                <w:rFonts w:ascii="Aptos" w:hAnsi="Aptos"/>
                <w:b w:val="0"/>
                <w:sz w:val="14"/>
              </w:rPr>
              <w:t>Current value</w:t>
            </w:r>
          </w:p>
        </w:tc>
        <w:tc>
          <w:tcPr>
            <w:tcW w:type="dxa" w:w="5083"/>
            <w:vAlign w:val="top"/>
          </w:tcPr>
          <w:p>
            <w:r/>
            <w:r>
              <w:rPr>
                <w:rFonts w:ascii="Aptos" w:hAnsi="Aptos"/>
                <w:b w:val="0"/>
                <w:sz w:val="14"/>
              </w:rPr>
              <w:t>CALIBRATION PENDING. No numeric N is asserted by this manifest.</w:t>
            </w:r>
          </w:p>
        </w:tc>
      </w:tr>
    </w:tbl>
    <w:p>
      <w:pPr>
        <w:spacing w:after="20"/>
      </w:pPr>
    </w:p>
    <w:p>
      <w:pPr>
        <w:pStyle w:val="Heading1"/>
      </w:pPr>
      <w:r>
        <w:t>14. Computation Budget Calibration Lock</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Item</w:t>
            </w:r>
          </w:p>
        </w:tc>
        <w:tc>
          <w:tcPr>
            <w:tcW w:type="dxa" w:w="5083"/>
            <w:vAlign w:val="top"/>
            <w:shd w:fill="D9E2F3"/>
          </w:tcPr>
          <w:p>
            <w:r/>
            <w:r>
              <w:rPr>
                <w:rFonts w:ascii="Aptos" w:hAnsi="Aptos"/>
                <w:b/>
                <w:sz w:val="15"/>
              </w:rPr>
              <w:t>Freeze</w:t>
            </w:r>
          </w:p>
        </w:tc>
      </w:tr>
      <w:tr>
        <w:tc>
          <w:tcPr>
            <w:tcW w:type="dxa" w:w="5083"/>
            <w:vAlign w:val="top"/>
          </w:tcPr>
          <w:p>
            <w:r/>
            <w:r>
              <w:rPr>
                <w:rFonts w:ascii="Aptos" w:hAnsi="Aptos"/>
                <w:b w:val="0"/>
                <w:sz w:val="14"/>
              </w:rPr>
              <w:t>Initial target</w:t>
            </w:r>
          </w:p>
        </w:tc>
        <w:tc>
          <w:tcPr>
            <w:tcW w:type="dxa" w:w="5083"/>
            <w:vAlign w:val="top"/>
          </w:tcPr>
          <w:p>
            <w:r/>
            <w:r>
              <w:rPr>
                <w:rFonts w:ascii="Aptos" w:hAnsi="Aptos"/>
                <w:b w:val="0"/>
                <w:sz w:val="14"/>
              </w:rPr>
              <w:t>A/B: 10,000 transition evaluations, 2.0 s wall-clock, max 256 stochastic projection paths per decision. C receives same wall-clock ceiling.</w:t>
            </w:r>
          </w:p>
        </w:tc>
      </w:tr>
      <w:tr>
        <w:tc>
          <w:tcPr>
            <w:tcW w:type="dxa" w:w="5083"/>
            <w:vAlign w:val="top"/>
          </w:tcPr>
          <w:p>
            <w:r/>
            <w:r>
              <w:rPr>
                <w:rFonts w:ascii="Aptos" w:hAnsi="Aptos"/>
                <w:b w:val="0"/>
                <w:sz w:val="14"/>
              </w:rPr>
              <w:t>Accounting</w:t>
            </w:r>
          </w:p>
        </w:tc>
        <w:tc>
          <w:tcPr>
            <w:tcW w:type="dxa" w:w="5083"/>
            <w:vAlign w:val="top"/>
          </w:tcPr>
          <w:p>
            <w:r/>
            <w:r>
              <w:rPr>
                <w:rFonts w:ascii="Aptos" w:hAnsi="Aptos"/>
                <w:b w:val="0"/>
                <w:sz w:val="14"/>
              </w:rPr>
              <w:t>One public transition-model advance for one candidate/scenario/step = one transition evaluation. Logging/packet serialization excluded from evaluation count but included in recorded end-to-end time.</w:t>
            </w:r>
          </w:p>
        </w:tc>
      </w:tr>
      <w:tr>
        <w:tc>
          <w:tcPr>
            <w:tcW w:type="dxa" w:w="5083"/>
            <w:vAlign w:val="top"/>
          </w:tcPr>
          <w:p>
            <w:r/>
            <w:r>
              <w:rPr>
                <w:rFonts w:ascii="Aptos" w:hAnsi="Aptos"/>
                <w:b w:val="0"/>
                <w:sz w:val="14"/>
              </w:rPr>
              <w:t>Passing rule</w:t>
            </w:r>
          </w:p>
        </w:tc>
        <w:tc>
          <w:tcPr>
            <w:tcW w:type="dxa" w:w="5083"/>
            <w:vAlign w:val="top"/>
          </w:tcPr>
          <w:p>
            <w:r/>
            <w:r>
              <w:rPr>
                <w:rFonts w:ascii="Aptos" w:hAnsi="Aptos"/>
                <w:b w:val="0"/>
                <w:sz w:val="14"/>
              </w:rPr>
              <w:t>A and B each complete &gt;=95% ordinary controller-neutral calibration decisions within both common ceilings.</w:t>
            </w:r>
          </w:p>
        </w:tc>
      </w:tr>
      <w:tr>
        <w:tc>
          <w:tcPr>
            <w:tcW w:type="dxa" w:w="5083"/>
            <w:vAlign w:val="top"/>
          </w:tcPr>
          <w:p>
            <w:r/>
            <w:r>
              <w:rPr>
                <w:rFonts w:ascii="Aptos" w:hAnsi="Aptos"/>
                <w:b w:val="0"/>
                <w:sz w:val="14"/>
              </w:rPr>
              <w:t>Adjustment</w:t>
            </w:r>
          </w:p>
        </w:tc>
        <w:tc>
          <w:tcPr>
            <w:tcW w:type="dxa" w:w="5083"/>
            <w:vAlign w:val="top"/>
          </w:tcPr>
          <w:p>
            <w:r/>
            <w:r>
              <w:rPr>
                <w:rFonts w:ascii="Aptos" w:hAnsi="Aptos"/>
                <w:b w:val="0"/>
                <w:sz w:val="14"/>
              </w:rPr>
              <w:t>If either fails, multiply both A and B ceilings by 2, then by 4 if necessary; freeze first common passing ceiling.</w:t>
            </w:r>
          </w:p>
        </w:tc>
      </w:tr>
      <w:tr>
        <w:tc>
          <w:tcPr>
            <w:tcW w:type="dxa" w:w="5083"/>
            <w:vAlign w:val="top"/>
          </w:tcPr>
          <w:p>
            <w:r/>
            <w:r>
              <w:rPr>
                <w:rFonts w:ascii="Aptos" w:hAnsi="Aptos"/>
                <w:b w:val="0"/>
                <w:sz w:val="14"/>
              </w:rPr>
              <w:t>Forbidden</w:t>
            </w:r>
          </w:p>
        </w:tc>
        <w:tc>
          <w:tcPr>
            <w:tcW w:type="dxa" w:w="5083"/>
            <w:vAlign w:val="top"/>
          </w:tcPr>
          <w:p>
            <w:r/>
            <w:r>
              <w:rPr>
                <w:rFonts w:ascii="Aptos" w:hAnsi="Aptos"/>
                <w:b w:val="0"/>
                <w:sz w:val="14"/>
              </w:rPr>
              <w:t>No regime-specific increase; no primary challenge/winner inspection during calibration.</w:t>
            </w:r>
          </w:p>
        </w:tc>
      </w:tr>
      <w:tr>
        <w:tc>
          <w:tcPr>
            <w:tcW w:type="dxa" w:w="5083"/>
            <w:vAlign w:val="top"/>
          </w:tcPr>
          <w:p>
            <w:r/>
            <w:r>
              <w:rPr>
                <w:rFonts w:ascii="Aptos" w:hAnsi="Aptos"/>
                <w:b w:val="0"/>
                <w:sz w:val="14"/>
              </w:rPr>
              <w:t>Current value</w:t>
            </w:r>
          </w:p>
        </w:tc>
        <w:tc>
          <w:tcPr>
            <w:tcW w:type="dxa" w:w="5083"/>
            <w:vAlign w:val="top"/>
          </w:tcPr>
          <w:p>
            <w:r/>
            <w:r>
              <w:rPr>
                <w:rFonts w:ascii="Aptos" w:hAnsi="Aptos"/>
                <w:b w:val="0"/>
                <w:sz w:val="14"/>
              </w:rPr>
              <w:t>CALIBRATION PENDING. The initial target is not yet the final execution ceiling.</w:t>
            </w:r>
          </w:p>
        </w:tc>
      </w:tr>
    </w:tbl>
    <w:p>
      <w:pPr>
        <w:spacing w:after="20"/>
      </w:pPr>
    </w:p>
    <w:p>
      <w:pPr>
        <w:pStyle w:val="Heading1"/>
      </w:pPr>
      <w:r>
        <w:t>15. Implementation Assertions That Must Pass</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Assertion</w:t>
            </w:r>
          </w:p>
        </w:tc>
        <w:tc>
          <w:tcPr>
            <w:tcW w:type="dxa" w:w="5083"/>
            <w:vAlign w:val="top"/>
            <w:shd w:fill="D9E2F3"/>
          </w:tcPr>
          <w:p>
            <w:r/>
            <w:r>
              <w:rPr>
                <w:rFonts w:ascii="Aptos" w:hAnsi="Aptos"/>
                <w:b/>
                <w:sz w:val="15"/>
              </w:rPr>
              <w:t>Required conformance evidence</w:t>
            </w:r>
          </w:p>
        </w:tc>
      </w:tr>
      <w:tr>
        <w:tc>
          <w:tcPr>
            <w:tcW w:type="dxa" w:w="5083"/>
            <w:vAlign w:val="top"/>
          </w:tcPr>
          <w:p>
            <w:r/>
            <w:r>
              <w:rPr>
                <w:rFonts w:ascii="Aptos" w:hAnsi="Aptos"/>
                <w:b w:val="0"/>
                <w:sz w:val="14"/>
              </w:rPr>
              <w:t>Calm stability</w:t>
            </w:r>
          </w:p>
        </w:tc>
        <w:tc>
          <w:tcPr>
            <w:tcW w:type="dxa" w:w="5083"/>
            <w:vAlign w:val="top"/>
          </w:tcPr>
          <w:p>
            <w:r/>
            <w:r>
              <w:rPr>
                <w:rFonts w:ascii="Aptos" w:hAnsi="Aptos"/>
                <w:b w:val="0"/>
                <w:sz w:val="14"/>
              </w:rPr>
              <w:t>Six-period healthy fixture remains stably operable under lawful routine policy.</w:t>
            </w:r>
          </w:p>
        </w:tc>
      </w:tr>
      <w:tr>
        <w:tc>
          <w:tcPr>
            <w:tcW w:type="dxa" w:w="5083"/>
            <w:vAlign w:val="top"/>
          </w:tcPr>
          <w:p>
            <w:r/>
            <w:r>
              <w:rPr>
                <w:rFonts w:ascii="Aptos" w:hAnsi="Aptos"/>
                <w:b w:val="0"/>
                <w:sz w:val="14"/>
              </w:rPr>
              <w:t>Evidence parity</w:t>
            </w:r>
          </w:p>
        </w:tc>
        <w:tc>
          <w:tcPr>
            <w:tcW w:type="dxa" w:w="5083"/>
            <w:vAlign w:val="top"/>
          </w:tcPr>
          <w:p>
            <w:r/>
            <w:r>
              <w:rPr>
                <w:rFonts w:ascii="Aptos" w:hAnsi="Aptos"/>
                <w:b w:val="0"/>
                <w:sz w:val="14"/>
              </w:rPr>
              <w:t>Matched-history raw evidence event IDs identical before controller adaptation.</w:t>
            </w:r>
          </w:p>
        </w:tc>
      </w:tr>
      <w:tr>
        <w:tc>
          <w:tcPr>
            <w:tcW w:type="dxa" w:w="5083"/>
            <w:vAlign w:val="top"/>
          </w:tcPr>
          <w:p>
            <w:r/>
            <w:r>
              <w:rPr>
                <w:rFonts w:ascii="Aptos" w:hAnsi="Aptos"/>
                <w:b w:val="0"/>
                <w:sz w:val="14"/>
              </w:rPr>
              <w:t>Oracle isolation</w:t>
            </w:r>
          </w:p>
        </w:tc>
        <w:tc>
          <w:tcPr>
            <w:tcW w:type="dxa" w:w="5083"/>
            <w:vAlign w:val="top"/>
          </w:tcPr>
          <w:p>
            <w:r/>
            <w:r>
              <w:rPr>
                <w:rFonts w:ascii="Aptos" w:hAnsi="Aptos"/>
                <w:b w:val="0"/>
                <w:sz w:val="14"/>
              </w:rPr>
              <w:t>Controller adapter cannot access POST/ORACLE/actual hidden PP/future draws/recovery truth.</w:t>
            </w:r>
          </w:p>
        </w:tc>
      </w:tr>
      <w:tr>
        <w:tc>
          <w:tcPr>
            <w:tcW w:type="dxa" w:w="5083"/>
            <w:vAlign w:val="top"/>
          </w:tcPr>
          <w:p>
            <w:r/>
            <w:r>
              <w:rPr>
                <w:rFonts w:ascii="Aptos" w:hAnsi="Aptos"/>
                <w:b w:val="0"/>
                <w:sz w:val="14"/>
              </w:rPr>
              <w:t>Action parity</w:t>
            </w:r>
          </w:p>
        </w:tc>
        <w:tc>
          <w:tcPr>
            <w:tcW w:type="dxa" w:w="5083"/>
            <w:vAlign w:val="top"/>
          </w:tcPr>
          <w:p>
            <w:r/>
            <w:r>
              <w:rPr>
                <w:rFonts w:ascii="Aptos" w:hAnsi="Aptos"/>
                <w:b w:val="0"/>
                <w:sz w:val="14"/>
              </w:rPr>
              <w:t>Common action grammar logged before controller pruning; known S2/R/finance/logistics actions equally available when legitimately known.</w:t>
            </w:r>
          </w:p>
        </w:tc>
      </w:tr>
      <w:tr>
        <w:tc>
          <w:tcPr>
            <w:tcW w:type="dxa" w:w="5083"/>
            <w:vAlign w:val="top"/>
          </w:tcPr>
          <w:p>
            <w:r/>
            <w:r>
              <w:rPr>
                <w:rFonts w:ascii="Aptos" w:hAnsi="Aptos"/>
                <w:b w:val="0"/>
                <w:sz w:val="14"/>
              </w:rPr>
              <w:t>Accessible PP</w:t>
            </w:r>
          </w:p>
        </w:tc>
        <w:tc>
          <w:tcPr>
            <w:tcW w:type="dxa" w:w="5083"/>
            <w:vAlign w:val="top"/>
          </w:tcPr>
          <w:p>
            <w:r/>
            <w:r>
              <w:rPr>
                <w:rFonts w:ascii="Aptos" w:hAnsi="Aptos"/>
                <w:b w:val="0"/>
                <w:sz w:val="14"/>
              </w:rPr>
              <w:t>Encumbrance reduces accessibility without silently destroying underlying PP.</w:t>
            </w:r>
          </w:p>
        </w:tc>
      </w:tr>
      <w:tr>
        <w:tc>
          <w:tcPr>
            <w:tcW w:type="dxa" w:w="5083"/>
            <w:vAlign w:val="top"/>
          </w:tcPr>
          <w:p>
            <w:r/>
            <w:r>
              <w:rPr>
                <w:rFonts w:ascii="Aptos" w:hAnsi="Aptos"/>
                <w:b w:val="0"/>
                <w:sz w:val="14"/>
              </w:rPr>
              <w:t>Event-key randomness</w:t>
            </w:r>
          </w:p>
        </w:tc>
        <w:tc>
          <w:tcPr>
            <w:tcW w:type="dxa" w:w="5083"/>
            <w:vAlign w:val="top"/>
          </w:tcPr>
          <w:p>
            <w:r/>
            <w:r>
              <w:rPr>
                <w:rFonts w:ascii="Aptos" w:hAnsi="Aptos"/>
                <w:b w:val="0"/>
                <w:sz w:val="14"/>
              </w:rPr>
              <w:t>Defect, transport, delayed failure, message, and other draws keyed semantically, not by call order.</w:t>
            </w:r>
          </w:p>
        </w:tc>
      </w:tr>
      <w:tr>
        <w:tc>
          <w:tcPr>
            <w:tcW w:type="dxa" w:w="5083"/>
            <w:vAlign w:val="top"/>
          </w:tcPr>
          <w:p>
            <w:r/>
            <w:r>
              <w:rPr>
                <w:rFonts w:ascii="Aptos" w:hAnsi="Aptos"/>
                <w:b w:val="0"/>
                <w:sz w:val="14"/>
              </w:rPr>
              <w:t>Sigma conformance</w:t>
            </w:r>
          </w:p>
        </w:tc>
        <w:tc>
          <w:tcPr>
            <w:tcW w:type="dxa" w:w="5083"/>
            <w:vAlign w:val="top"/>
          </w:tcPr>
          <w:p>
            <w:r/>
            <w:r>
              <w:rPr>
                <w:rFonts w:ascii="Aptos" w:hAnsi="Aptos"/>
                <w:b w:val="0"/>
                <w:sz w:val="14"/>
              </w:rPr>
              <w:t>T7 standard/fallback/terminal modes and deterministic tie handling match authority/fixture rules.</w:t>
            </w:r>
          </w:p>
        </w:tc>
      </w:tr>
      <w:tr>
        <w:tc>
          <w:tcPr>
            <w:tcW w:type="dxa" w:w="5083"/>
            <w:vAlign w:val="top"/>
          </w:tcPr>
          <w:p>
            <w:r/>
            <w:r>
              <w:rPr>
                <w:rFonts w:ascii="Aptos" w:hAnsi="Aptos"/>
                <w:b w:val="0"/>
                <w:sz w:val="14"/>
              </w:rPr>
              <w:t>B competence</w:t>
            </w:r>
          </w:p>
        </w:tc>
        <w:tc>
          <w:tcPr>
            <w:tcW w:type="dxa" w:w="5083"/>
            <w:vAlign w:val="top"/>
          </w:tcPr>
          <w:p>
            <w:r/>
            <w:r>
              <w:rPr>
                <w:rFonts w:ascii="Aptos" w:hAnsi="Aptos"/>
                <w:b w:val="0"/>
                <w:sz w:val="14"/>
              </w:rPr>
              <w:t>Hand-solvable cases and B0-B4 sensitivity behave coherently; estimator never reads oracle state.</w:t>
            </w:r>
          </w:p>
        </w:tc>
      </w:tr>
      <w:tr>
        <w:tc>
          <w:tcPr>
            <w:tcW w:type="dxa" w:w="5083"/>
            <w:vAlign w:val="top"/>
          </w:tcPr>
          <w:p>
            <w:r/>
            <w:r>
              <w:rPr>
                <w:rFonts w:ascii="Aptos" w:hAnsi="Aptos"/>
                <w:b w:val="0"/>
                <w:sz w:val="14"/>
              </w:rPr>
              <w:t>C competence</w:t>
            </w:r>
          </w:p>
        </w:tc>
        <w:tc>
          <w:tcPr>
            <w:tcW w:type="dxa" w:w="5083"/>
            <w:vAlign w:val="top"/>
          </w:tcPr>
          <w:p>
            <w:r/>
            <w:r>
              <w:rPr>
                <w:rFonts w:ascii="Aptos" w:hAnsi="Aptos"/>
                <w:b w:val="0"/>
                <w:sz w:val="14"/>
              </w:rPr>
              <w:t>Role priority tables execute exactly and calm cases do not force irrational adaptation.</w:t>
            </w:r>
          </w:p>
        </w:tc>
      </w:tr>
      <w:tr>
        <w:tc>
          <w:tcPr>
            <w:tcW w:type="dxa" w:w="5083"/>
            <w:vAlign w:val="top"/>
          </w:tcPr>
          <w:p>
            <w:r/>
            <w:r>
              <w:rPr>
                <w:rFonts w:ascii="Aptos" w:hAnsi="Aptos"/>
                <w:b w:val="0"/>
                <w:sz w:val="14"/>
              </w:rPr>
              <w:t>Proposal semantics</w:t>
            </w:r>
          </w:p>
        </w:tc>
        <w:tc>
          <w:tcPr>
            <w:tcW w:type="dxa" w:w="5083"/>
            <w:vAlign w:val="top"/>
          </w:tcPr>
          <w:p>
            <w:r/>
            <w:r>
              <w:rPr>
                <w:rFonts w:ascii="Aptos" w:hAnsi="Aptos"/>
                <w:b w:val="0"/>
                <w:sz w:val="14"/>
              </w:rPr>
              <w:t>Proposal != acceptance != commitment != execution; no same-period negotiation loop.</w:t>
            </w:r>
          </w:p>
        </w:tc>
      </w:tr>
      <w:tr>
        <w:tc>
          <w:tcPr>
            <w:tcW w:type="dxa" w:w="5083"/>
            <w:vAlign w:val="top"/>
          </w:tcPr>
          <w:p>
            <w:r/>
            <w:r>
              <w:rPr>
                <w:rFonts w:ascii="Aptos" w:hAnsi="Aptos"/>
                <w:b w:val="0"/>
                <w:sz w:val="14"/>
              </w:rPr>
              <w:t>Firewall</w:t>
            </w:r>
          </w:p>
        </w:tc>
        <w:tc>
          <w:tcPr>
            <w:tcW w:type="dxa" w:w="5083"/>
            <w:vAlign w:val="top"/>
          </w:tcPr>
          <w:p>
            <w:r/>
            <w:r>
              <w:rPr>
                <w:rFonts w:ascii="Aptos" w:hAnsi="Aptos"/>
                <w:b w:val="0"/>
                <w:sz w:val="14"/>
              </w:rPr>
              <w:t>Separate agent controller state; private observations cannot cross agents except world communication.</w:t>
            </w:r>
          </w:p>
        </w:tc>
      </w:tr>
      <w:tr>
        <w:tc>
          <w:tcPr>
            <w:tcW w:type="dxa" w:w="5083"/>
            <w:vAlign w:val="top"/>
          </w:tcPr>
          <w:p>
            <w:r/>
            <w:r>
              <w:rPr>
                <w:rFonts w:ascii="Aptos" w:hAnsi="Aptos"/>
                <w:b w:val="0"/>
                <w:sz w:val="14"/>
              </w:rPr>
              <w:t>Replay</w:t>
            </w:r>
          </w:p>
        </w:tc>
        <w:tc>
          <w:tcPr>
            <w:tcW w:type="dxa" w:w="5083"/>
            <w:vAlign w:val="top"/>
          </w:tcPr>
          <w:p>
            <w:r/>
            <w:r>
              <w:rPr>
                <w:rFonts w:ascii="Aptos" w:hAnsi="Aptos"/>
                <w:b w:val="0"/>
                <w:sz w:val="14"/>
              </w:rPr>
              <w:t>Event/transformation/random/decision ledgers reconstruct the same run deterministically from frozen inputs.</w:t>
            </w:r>
          </w:p>
        </w:tc>
      </w:tr>
      <w:tr>
        <w:tc>
          <w:tcPr>
            <w:tcW w:type="dxa" w:w="5083"/>
            <w:vAlign w:val="top"/>
          </w:tcPr>
          <w:p>
            <w:r/>
            <w:r>
              <w:rPr>
                <w:rFonts w:ascii="Aptos" w:hAnsi="Aptos"/>
                <w:b w:val="0"/>
                <w:sz w:val="14"/>
              </w:rPr>
              <w:t>Oracle classification</w:t>
            </w:r>
          </w:p>
        </w:tc>
        <w:tc>
          <w:tcPr>
            <w:tcW w:type="dxa" w:w="5083"/>
            <w:vAlign w:val="top"/>
          </w:tcPr>
          <w:p>
            <w:r/>
            <w:r>
              <w:rPr>
                <w:rFonts w:ascii="Aptos" w:hAnsi="Aptos"/>
                <w:b w:val="0"/>
                <w:sz w:val="14"/>
              </w:rPr>
              <w:t>Non-exhaustive failure to find recovery yields UNDETERMINED, never proven world infeasible.</w:t>
            </w:r>
          </w:p>
        </w:tc>
      </w:tr>
    </w:tbl>
    <w:p>
      <w:pPr>
        <w:spacing w:after="20"/>
      </w:pPr>
    </w:p>
    <w:p>
      <w:pPr>
        <w:pStyle w:val="Heading1"/>
      </w:pPr>
      <w:r>
        <w:t>16. Calibration-Only Implementation Authorization</w:t>
      </w:r>
    </w:p>
    <w:p>
      <w:r>
        <w:t>The following implementation and execution activities are authorized immediately under v1.0:</w:t>
      </w:r>
    </w:p>
    <w:p>
      <w:pPr>
        <w:pStyle w:val="ListBullet"/>
        <w:spacing w:after="20"/>
      </w:pPr>
      <w:r>
        <w:t>Build the world/state model, event generator, observation/PRE-POST interfaces, common action grammar, shared-resource resolver, typed transformation engine, delayed-event queues, and immutable ledgers.</w:t>
      </w:r>
    </w:p>
    <w:p>
      <w:pPr>
        <w:pStyle w:val="ListBullet"/>
        <w:spacing w:after="20"/>
      </w:pPr>
      <w:r>
        <w:t>Build separate A, B, C controller implementations and O1/O2 diagnostic modules behind the frozen interfaces.</w:t>
      </w:r>
    </w:p>
    <w:p>
      <w:pPr>
        <w:pStyle w:val="ListBullet"/>
        <w:spacing w:after="20"/>
      </w:pPr>
      <w:r>
        <w:t>Run unit tests, invariant tests, deterministic replay tests, T1-T12 implementation fixtures, calm/hand-solvable/synthetic controller-neutral states, and oracle-isolation/firewall tests.</w:t>
      </w:r>
    </w:p>
    <w:p>
      <w:pPr>
        <w:pStyle w:val="ListBullet"/>
        <w:spacing w:after="20"/>
      </w:pPr>
      <w:r>
        <w:t>Run the controller-blind computation-budget calibration defined above.</w:t>
      </w:r>
    </w:p>
    <w:p>
      <w:pPr>
        <w:pStyle w:val="ListBullet"/>
        <w:spacing w:after="20"/>
      </w:pPr>
      <w:r>
        <w:t>Generate the 1,000 controller-free exogenous traces and select N under the frozen rule.</w:t>
      </w:r>
    </w:p>
    <w:p>
      <w:pPr>
        <w:pStyle w:val="ListBullet"/>
        <w:spacing w:after="20"/>
      </w:pPr>
      <w:r>
        <w:t>Correct code that fails to implement the frozen specification, preserving correction records and hashes.</w:t>
      </w:r>
    </w:p>
    <w:p>
      <w:pPr>
        <w:pStyle w:val="Heading1"/>
      </w:pPr>
      <w:r>
        <w:t>17. Activities Explicitly Prohibited Before Calibration Lock</w:t>
      </w:r>
    </w:p>
    <w:p>
      <w:pPr>
        <w:pStyle w:val="ListBullet"/>
        <w:spacing w:after="20"/>
      </w:pPr>
      <w:r>
        <w:t>No primary deterministic challenge trace may be run as an A/B/C comparative experiment.</w:t>
      </w:r>
    </w:p>
    <w:p>
      <w:pPr>
        <w:pStyle w:val="ListBullet"/>
        <w:spacing w:after="20"/>
      </w:pPr>
      <w:r>
        <w:t>No stochastic primary A/B/C ensemble may be generated.</w:t>
      </w:r>
    </w:p>
    <w:p>
      <w:pPr>
        <w:pStyle w:val="ListBullet"/>
        <w:spacing w:after="20"/>
      </w:pPr>
      <w:r>
        <w:t>No inspection of comparative winner tables, recovery-rate differences, terminal-rate differences, or other primary outcome differences.</w:t>
      </w:r>
    </w:p>
    <w:p>
      <w:pPr>
        <w:pStyle w:val="ListBullet"/>
        <w:spacing w:after="20"/>
      </w:pPr>
      <w:r>
        <w:t>No tuning of PV-PP search, scalar estimator/weights, C priorities, stochastic severity, message probabilities, horizons, thresholds, or outcome definitions in response to controller performance.</w:t>
      </w:r>
    </w:p>
    <w:p>
      <w:pPr>
        <w:pStyle w:val="ListBullet"/>
        <w:spacing w:after="20"/>
      </w:pPr>
      <w:r>
        <w:t>No dropping/reordering seeds or redefining N using controller outcomes.</w:t>
      </w:r>
    </w:p>
    <w:p>
      <w:pPr>
        <w:pStyle w:val="ListBullet"/>
        <w:spacing w:after="20"/>
      </w:pPr>
      <w:r>
        <w:t>No changing a frozen paper rule under the label of bug fixing. Such a change requires a versioned specification patch and renewed closure review.</w:t>
      </w:r>
    </w:p>
    <w:p>
      <w:pPr>
        <w:pStyle w:val="Heading1"/>
      </w:pPr>
      <w:r>
        <w:t>18. Required Calibration Lock Record</w:t>
      </w:r>
    </w:p>
    <w:p>
      <w:r>
        <w:t>Before the first primary comparative run, a separate Calibration Lock Record must contain at minimum:</w:t>
      </w:r>
    </w:p>
    <w:p>
      <w:pPr>
        <w:pStyle w:val="ListBullet"/>
        <w:spacing w:after="20"/>
      </w:pPr>
      <w:r>
        <w:t>Reference hardware, operating/runtime environment, concurrency/thread settings, and timing method.</w:t>
      </w:r>
    </w:p>
    <w:p>
      <w:pPr>
        <w:pStyle w:val="ListBullet"/>
        <w:spacing w:after="20"/>
      </w:pPr>
      <w:r>
        <w:t>Final common transition-evaluation ceiling, wall-clock ceiling, rollout/path ceiling, calibration fixtures, pass rates, and calibration log hashes.</w:t>
      </w:r>
    </w:p>
    <w:p>
      <w:pPr>
        <w:pStyle w:val="ListBullet"/>
        <w:spacing w:after="20"/>
      </w:pPr>
      <w:r>
        <w:t>Generated 1,000-seed machine-readable file and SHA-256 hash.</w:t>
      </w:r>
    </w:p>
    <w:p>
      <w:pPr>
        <w:pStyle w:val="ListBullet"/>
        <w:spacing w:after="20"/>
      </w:pPr>
      <w:r>
        <w:t>Controller-free event-frequency calibration table, selected N, and evidence that the predeclared selection rule was applied without controller outcome access.</w:t>
      </w:r>
    </w:p>
    <w:p>
      <w:pPr>
        <w:pStyle w:val="ListBullet"/>
        <w:spacing w:after="20"/>
      </w:pPr>
      <w:r>
        <w:t>Implementation repository/code/config hashes for world, A, B, C, oracle, observation adapter, action grammar, randomness, and ledger modules.</w:t>
      </w:r>
    </w:p>
    <w:p>
      <w:pPr>
        <w:pStyle w:val="ListBullet"/>
        <w:spacing w:after="20"/>
      </w:pPr>
      <w:r>
        <w:t>PASS/FAIL record for every Section 15 assertion and T1-T12 implementation fixture.</w:t>
      </w:r>
    </w:p>
    <w:p>
      <w:pPr>
        <w:pStyle w:val="ListBullet"/>
        <w:spacing w:after="20"/>
      </w:pPr>
      <w:r>
        <w:t>Any code corrections made after first calibration build and evidence that they did not change frozen paper rules.</w:t>
      </w:r>
    </w:p>
    <w:p>
      <w:pPr>
        <w:pStyle w:val="ListBullet"/>
        <w:spacing w:after="20"/>
      </w:pPr>
      <w:r>
        <w:t>An explicit statement authorizing or withholding primary comparative execution.</w:t>
      </w:r>
    </w:p>
    <w:p>
      <w:pPr>
        <w:pStyle w:val="Heading1"/>
      </w:pPr>
      <w:r>
        <w:t>19. Change-Control Rule After This Freeze</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Change type</w:t>
            </w:r>
          </w:p>
        </w:tc>
        <w:tc>
          <w:tcPr>
            <w:tcW w:type="dxa" w:w="5083"/>
            <w:vAlign w:val="top"/>
            <w:shd w:fill="D9E2F3"/>
          </w:tcPr>
          <w:p>
            <w:r/>
            <w:r>
              <w:rPr>
                <w:rFonts w:ascii="Aptos" w:hAnsi="Aptos"/>
                <w:b/>
                <w:sz w:val="15"/>
              </w:rPr>
              <w:t>Required treatment</w:t>
            </w:r>
          </w:p>
        </w:tc>
      </w:tr>
      <w:tr>
        <w:tc>
          <w:tcPr>
            <w:tcW w:type="dxa" w:w="5083"/>
            <w:vAlign w:val="top"/>
          </w:tcPr>
          <w:p>
            <w:r/>
            <w:r>
              <w:rPr>
                <w:rFonts w:ascii="Aptos" w:hAnsi="Aptos"/>
                <w:b w:val="0"/>
                <w:sz w:val="14"/>
              </w:rPr>
              <w:t>Pure implementation defect</w:t>
            </w:r>
          </w:p>
        </w:tc>
        <w:tc>
          <w:tcPr>
            <w:tcW w:type="dxa" w:w="5083"/>
            <w:vAlign w:val="top"/>
          </w:tcPr>
          <w:p>
            <w:r/>
            <w:r>
              <w:rPr>
                <w:rFonts w:ascii="Aptos" w:hAnsi="Aptos"/>
                <w:b w:val="0"/>
                <w:sz w:val="14"/>
              </w:rPr>
              <w:t>Correct code; preserve old/new code hashes, defect description, affected calibration runs, and rerun evidence.</w:t>
            </w:r>
          </w:p>
        </w:tc>
      </w:tr>
      <w:tr>
        <w:tc>
          <w:tcPr>
            <w:tcW w:type="dxa" w:w="5083"/>
            <w:vAlign w:val="top"/>
          </w:tcPr>
          <w:p>
            <w:r/>
            <w:r>
              <w:rPr>
                <w:rFonts w:ascii="Aptos" w:hAnsi="Aptos"/>
                <w:b w:val="0"/>
                <w:sz w:val="14"/>
              </w:rPr>
              <w:t>Ambiguous paper instruction</w:t>
            </w:r>
          </w:p>
        </w:tc>
        <w:tc>
          <w:tcPr>
            <w:tcW w:type="dxa" w:w="5083"/>
            <w:vAlign w:val="top"/>
          </w:tcPr>
          <w:p>
            <w:r/>
            <w:r>
              <w:rPr>
                <w:rFonts w:ascii="Aptos" w:hAnsi="Aptos"/>
                <w:b w:val="0"/>
                <w:sz w:val="14"/>
              </w:rPr>
              <w:t>Stop; do not choose silently. Issue clarification/patch, identify affected parent document, and perform targeted closure review.</w:t>
            </w:r>
          </w:p>
        </w:tc>
      </w:tr>
      <w:tr>
        <w:tc>
          <w:tcPr>
            <w:tcW w:type="dxa" w:w="5083"/>
            <w:vAlign w:val="top"/>
          </w:tcPr>
          <w:p>
            <w:r/>
            <w:r>
              <w:rPr>
                <w:rFonts w:ascii="Aptos" w:hAnsi="Aptos"/>
                <w:b w:val="0"/>
                <w:sz w:val="14"/>
              </w:rPr>
              <w:t>New world mechanism/action/institution</w:t>
            </w:r>
          </w:p>
        </w:tc>
        <w:tc>
          <w:tcPr>
            <w:tcW w:type="dxa" w:w="5083"/>
            <w:vAlign w:val="top"/>
          </w:tcPr>
          <w:p>
            <w:r/>
            <w:r>
              <w:rPr>
                <w:rFonts w:ascii="Aptos" w:hAnsi="Aptos"/>
                <w:b w:val="0"/>
                <w:sz w:val="14"/>
              </w:rPr>
              <w:t>New benchmark version; v1.0 primary program remains preserved.</w:t>
            </w:r>
          </w:p>
        </w:tc>
      </w:tr>
      <w:tr>
        <w:tc>
          <w:tcPr>
            <w:tcW w:type="dxa" w:w="5083"/>
            <w:vAlign w:val="top"/>
          </w:tcPr>
          <w:p>
            <w:r/>
            <w:r>
              <w:rPr>
                <w:rFonts w:ascii="Aptos" w:hAnsi="Aptos"/>
                <w:b w:val="0"/>
                <w:sz w:val="14"/>
              </w:rPr>
              <w:t>PV-PP canonical authority change</w:t>
            </w:r>
          </w:p>
        </w:tc>
        <w:tc>
          <w:tcPr>
            <w:tcW w:type="dxa" w:w="5083"/>
            <w:vAlign w:val="top"/>
          </w:tcPr>
          <w:p>
            <w:r/>
            <w:r>
              <w:rPr>
                <w:rFonts w:ascii="Aptos" w:hAnsi="Aptos"/>
                <w:b w:val="0"/>
                <w:sz w:val="14"/>
              </w:rPr>
              <w:t>Record new authority version; assess whether benchmark A contract changes; version and re-audit before use.</w:t>
            </w:r>
          </w:p>
        </w:tc>
      </w:tr>
      <w:tr>
        <w:tc>
          <w:tcPr>
            <w:tcW w:type="dxa" w:w="5083"/>
            <w:vAlign w:val="top"/>
          </w:tcPr>
          <w:p>
            <w:r/>
            <w:r>
              <w:rPr>
                <w:rFonts w:ascii="Aptos" w:hAnsi="Aptos"/>
                <w:b w:val="0"/>
                <w:sz w:val="14"/>
              </w:rPr>
              <w:t>Comparator retuning</w:t>
            </w:r>
          </w:p>
        </w:tc>
        <w:tc>
          <w:tcPr>
            <w:tcW w:type="dxa" w:w="5083"/>
            <w:vAlign w:val="top"/>
          </w:tcPr>
          <w:p>
            <w:r/>
            <w:r>
              <w:rPr>
                <w:rFonts w:ascii="Aptos" w:hAnsi="Aptos"/>
                <w:b w:val="0"/>
                <w:sz w:val="14"/>
              </w:rPr>
              <w:t>New preregistered benchmark version; never overwrite v1.0.</w:t>
            </w:r>
          </w:p>
        </w:tc>
      </w:tr>
      <w:tr>
        <w:tc>
          <w:tcPr>
            <w:tcW w:type="dxa" w:w="5083"/>
            <w:vAlign w:val="top"/>
          </w:tcPr>
          <w:p>
            <w:r/>
            <w:r>
              <w:rPr>
                <w:rFonts w:ascii="Aptos" w:hAnsi="Aptos"/>
                <w:b w:val="0"/>
                <w:sz w:val="14"/>
              </w:rPr>
              <w:t>Post-primary defect discovery</w:t>
            </w:r>
          </w:p>
        </w:tc>
        <w:tc>
          <w:tcPr>
            <w:tcW w:type="dxa" w:w="5083"/>
            <w:vAlign w:val="top"/>
          </w:tcPr>
          <w:p>
            <w:r/>
            <w:r>
              <w:rPr>
                <w:rFonts w:ascii="Aptos" w:hAnsi="Aptos"/>
                <w:b w:val="0"/>
                <w:sz w:val="14"/>
              </w:rPr>
              <w:t>Preserve all original runs as invalidated/superseded where appropriate; patch/version; rerun all affected regimes/seeds under correction ledger.</w:t>
            </w:r>
          </w:p>
        </w:tc>
      </w:tr>
    </w:tbl>
    <w:p>
      <w:pPr>
        <w:spacing w:after="20"/>
      </w:pPr>
    </w:p>
    <w:p>
      <w:pPr>
        <w:pStyle w:val="Heading1"/>
      </w:pPr>
      <w:r>
        <w:t>20. Freeze Checklist</w:t>
      </w:r>
    </w:p>
    <w:tbl>
      <w:tblPr>
        <w:tblStyle w:val="TableGrid"/>
        <w:tblW w:type="auto" w:w="0"/>
        <w:jc w:val="center"/>
        <w:tblLook w:firstColumn="1" w:firstRow="1" w:lastColumn="0" w:lastRow="0" w:noHBand="0" w:noVBand="1" w:val="04A0"/>
      </w:tblPr>
      <w:tblGrid>
        <w:gridCol w:w="5083"/>
        <w:gridCol w:w="5083"/>
      </w:tblGrid>
      <w:tr>
        <w:tc>
          <w:tcPr>
            <w:tcW w:type="dxa" w:w="5083"/>
            <w:vAlign w:val="top"/>
            <w:shd w:fill="D9E2F3"/>
          </w:tcPr>
          <w:p>
            <w:r/>
            <w:r>
              <w:rPr>
                <w:rFonts w:ascii="Aptos" w:hAnsi="Aptos"/>
                <w:b/>
                <w:sz w:val="15"/>
              </w:rPr>
              <w:t>Gate</w:t>
            </w:r>
          </w:p>
        </w:tc>
        <w:tc>
          <w:tcPr>
            <w:tcW w:type="dxa" w:w="5083"/>
            <w:vAlign w:val="top"/>
            <w:shd w:fill="D9E2F3"/>
          </w:tcPr>
          <w:p>
            <w:r/>
            <w:r>
              <w:rPr>
                <w:rFonts w:ascii="Aptos" w:hAnsi="Aptos"/>
                <w:b/>
                <w:sz w:val="15"/>
              </w:rPr>
              <w:t>v1.0 status</w:t>
            </w:r>
          </w:p>
        </w:tc>
      </w:tr>
      <w:tr>
        <w:tc>
          <w:tcPr>
            <w:tcW w:type="dxa" w:w="5083"/>
            <w:vAlign w:val="top"/>
          </w:tcPr>
          <w:p>
            <w:r/>
            <w:r>
              <w:rPr>
                <w:rFonts w:ascii="Aptos" w:hAnsi="Aptos"/>
                <w:b w:val="0"/>
                <w:sz w:val="14"/>
              </w:rPr>
              <w:t>Paper world/state</w:t>
            </w:r>
          </w:p>
        </w:tc>
        <w:tc>
          <w:tcPr>
            <w:tcW w:type="dxa" w:w="5083"/>
            <w:vAlign w:val="top"/>
          </w:tcPr>
          <w:p>
            <w:r/>
            <w:r>
              <w:rPr>
                <w:rFonts w:ascii="Aptos" w:hAnsi="Aptos"/>
                <w:b w:val="0"/>
                <w:sz w:val="14"/>
              </w:rPr>
              <w:t>FROZEN</w:t>
            </w:r>
          </w:p>
        </w:tc>
      </w:tr>
      <w:tr>
        <w:tc>
          <w:tcPr>
            <w:tcW w:type="dxa" w:w="5083"/>
            <w:vAlign w:val="top"/>
          </w:tcPr>
          <w:p>
            <w:r/>
            <w:r>
              <w:rPr>
                <w:rFonts w:ascii="Aptos" w:hAnsi="Aptos"/>
                <w:b w:val="0"/>
                <w:sz w:val="14"/>
              </w:rPr>
              <w:t>Information/memory boundary</w:t>
            </w:r>
          </w:p>
        </w:tc>
        <w:tc>
          <w:tcPr>
            <w:tcW w:type="dxa" w:w="5083"/>
            <w:vAlign w:val="top"/>
          </w:tcPr>
          <w:p>
            <w:r/>
            <w:r>
              <w:rPr>
                <w:rFonts w:ascii="Aptos" w:hAnsi="Aptos"/>
                <w:b w:val="0"/>
                <w:sz w:val="14"/>
              </w:rPr>
              <w:t>FROZEN</w:t>
            </w:r>
          </w:p>
        </w:tc>
      </w:tr>
      <w:tr>
        <w:tc>
          <w:tcPr>
            <w:tcW w:type="dxa" w:w="5083"/>
            <w:vAlign w:val="top"/>
          </w:tcPr>
          <w:p>
            <w:r/>
            <w:r>
              <w:rPr>
                <w:rFonts w:ascii="Aptos" w:hAnsi="Aptos"/>
                <w:b w:val="0"/>
                <w:sz w:val="14"/>
              </w:rPr>
              <w:t>Action/event grammar</w:t>
            </w:r>
          </w:p>
        </w:tc>
        <w:tc>
          <w:tcPr>
            <w:tcW w:type="dxa" w:w="5083"/>
            <w:vAlign w:val="top"/>
          </w:tcPr>
          <w:p>
            <w:r/>
            <w:r>
              <w:rPr>
                <w:rFonts w:ascii="Aptos" w:hAnsi="Aptos"/>
                <w:b w:val="0"/>
                <w:sz w:val="14"/>
              </w:rPr>
              <w:t>FROZEN</w:t>
            </w:r>
          </w:p>
        </w:tc>
      </w:tr>
      <w:tr>
        <w:tc>
          <w:tcPr>
            <w:tcW w:type="dxa" w:w="5083"/>
            <w:vAlign w:val="top"/>
          </w:tcPr>
          <w:p>
            <w:r/>
            <w:r>
              <w:rPr>
                <w:rFonts w:ascii="Aptos" w:hAnsi="Aptos"/>
                <w:b w:val="0"/>
                <w:sz w:val="14"/>
              </w:rPr>
              <w:t>PV-PP paper controller contract</w:t>
            </w:r>
          </w:p>
        </w:tc>
        <w:tc>
          <w:tcPr>
            <w:tcW w:type="dxa" w:w="5083"/>
            <w:vAlign w:val="top"/>
          </w:tcPr>
          <w:p>
            <w:r/>
            <w:r>
              <w:rPr>
                <w:rFonts w:ascii="Aptos" w:hAnsi="Aptos"/>
                <w:b w:val="0"/>
                <w:sz w:val="14"/>
              </w:rPr>
              <w:t>FROZEN</w:t>
            </w:r>
          </w:p>
        </w:tc>
      </w:tr>
      <w:tr>
        <w:tc>
          <w:tcPr>
            <w:tcW w:type="dxa" w:w="5083"/>
            <w:vAlign w:val="top"/>
          </w:tcPr>
          <w:p>
            <w:r/>
            <w:r>
              <w:rPr>
                <w:rFonts w:ascii="Aptos" w:hAnsi="Aptos"/>
                <w:b w:val="0"/>
                <w:sz w:val="14"/>
              </w:rPr>
              <w:t>Scalar B paper contract</w:t>
            </w:r>
          </w:p>
        </w:tc>
        <w:tc>
          <w:tcPr>
            <w:tcW w:type="dxa" w:w="5083"/>
            <w:vAlign w:val="top"/>
          </w:tcPr>
          <w:p>
            <w:r/>
            <w:r>
              <w:rPr>
                <w:rFonts w:ascii="Aptos" w:hAnsi="Aptos"/>
                <w:b w:val="0"/>
                <w:sz w:val="14"/>
              </w:rPr>
              <w:t>FROZEN</w:t>
            </w:r>
          </w:p>
        </w:tc>
      </w:tr>
      <w:tr>
        <w:tc>
          <w:tcPr>
            <w:tcW w:type="dxa" w:w="5083"/>
            <w:vAlign w:val="top"/>
          </w:tcPr>
          <w:p>
            <w:r/>
            <w:r>
              <w:rPr>
                <w:rFonts w:ascii="Aptos" w:hAnsi="Aptos"/>
                <w:b w:val="0"/>
                <w:sz w:val="14"/>
              </w:rPr>
              <w:t>Local C paper contract</w:t>
            </w:r>
          </w:p>
        </w:tc>
        <w:tc>
          <w:tcPr>
            <w:tcW w:type="dxa" w:w="5083"/>
            <w:vAlign w:val="top"/>
          </w:tcPr>
          <w:p>
            <w:r/>
            <w:r>
              <w:rPr>
                <w:rFonts w:ascii="Aptos" w:hAnsi="Aptos"/>
                <w:b w:val="0"/>
                <w:sz w:val="14"/>
              </w:rPr>
              <w:t>FROZEN</w:t>
            </w:r>
          </w:p>
        </w:tc>
      </w:tr>
      <w:tr>
        <w:tc>
          <w:tcPr>
            <w:tcW w:type="dxa" w:w="5083"/>
            <w:vAlign w:val="top"/>
          </w:tcPr>
          <w:p>
            <w:r/>
            <w:r>
              <w:rPr>
                <w:rFonts w:ascii="Aptos" w:hAnsi="Aptos"/>
                <w:b w:val="0"/>
                <w:sz w:val="14"/>
              </w:rPr>
              <w:t>Stochastic/strategic fixture distributions</w:t>
            </w:r>
          </w:p>
        </w:tc>
        <w:tc>
          <w:tcPr>
            <w:tcW w:type="dxa" w:w="5083"/>
            <w:vAlign w:val="top"/>
          </w:tcPr>
          <w:p>
            <w:r/>
            <w:r>
              <w:rPr>
                <w:rFonts w:ascii="Aptos" w:hAnsi="Aptos"/>
                <w:b w:val="0"/>
                <w:sz w:val="14"/>
              </w:rPr>
              <w:t>FROZEN</w:t>
            </w:r>
          </w:p>
        </w:tc>
      </w:tr>
      <w:tr>
        <w:tc>
          <w:tcPr>
            <w:tcW w:type="dxa" w:w="5083"/>
            <w:vAlign w:val="top"/>
          </w:tcPr>
          <w:p>
            <w:r/>
            <w:r>
              <w:rPr>
                <w:rFonts w:ascii="Aptos" w:hAnsi="Aptos"/>
                <w:b w:val="0"/>
                <w:sz w:val="14"/>
              </w:rPr>
              <w:t>Inspection/qualification/R/opportunity rules</w:t>
            </w:r>
          </w:p>
        </w:tc>
        <w:tc>
          <w:tcPr>
            <w:tcW w:type="dxa" w:w="5083"/>
            <w:vAlign w:val="top"/>
          </w:tcPr>
          <w:p>
            <w:r/>
            <w:r>
              <w:rPr>
                <w:rFonts w:ascii="Aptos" w:hAnsi="Aptos"/>
                <w:b w:val="0"/>
                <w:sz w:val="14"/>
              </w:rPr>
              <w:t>FROZEN</w:t>
            </w:r>
          </w:p>
        </w:tc>
      </w:tr>
      <w:tr>
        <w:tc>
          <w:tcPr>
            <w:tcW w:type="dxa" w:w="5083"/>
            <w:vAlign w:val="top"/>
          </w:tcPr>
          <w:p>
            <w:r/>
            <w:r>
              <w:rPr>
                <w:rFonts w:ascii="Aptos" w:hAnsi="Aptos"/>
                <w:b w:val="0"/>
                <w:sz w:val="14"/>
              </w:rPr>
              <w:t>Outcome/failure/statistical protocol</w:t>
            </w:r>
          </w:p>
        </w:tc>
        <w:tc>
          <w:tcPr>
            <w:tcW w:type="dxa" w:w="5083"/>
            <w:vAlign w:val="top"/>
          </w:tcPr>
          <w:p>
            <w:r/>
            <w:r>
              <w:rPr>
                <w:rFonts w:ascii="Aptos" w:hAnsi="Aptos"/>
                <w:b w:val="0"/>
                <w:sz w:val="14"/>
              </w:rPr>
              <w:t>FROZEN</w:t>
            </w:r>
          </w:p>
        </w:tc>
      </w:tr>
      <w:tr>
        <w:tc>
          <w:tcPr>
            <w:tcW w:type="dxa" w:w="5083"/>
            <w:vAlign w:val="top"/>
          </w:tcPr>
          <w:p>
            <w:r/>
            <w:r>
              <w:rPr>
                <w:rFonts w:ascii="Aptos" w:hAnsi="Aptos"/>
                <w:b w:val="0"/>
                <w:sz w:val="14"/>
              </w:rPr>
              <w:t>Seed-generation recipe</w:t>
            </w:r>
          </w:p>
        </w:tc>
        <w:tc>
          <w:tcPr>
            <w:tcW w:type="dxa" w:w="5083"/>
            <w:vAlign w:val="top"/>
          </w:tcPr>
          <w:p>
            <w:r/>
            <w:r>
              <w:rPr>
                <w:rFonts w:ascii="Aptos" w:hAnsi="Aptos"/>
                <w:b w:val="0"/>
                <w:sz w:val="14"/>
              </w:rPr>
              <w:t>FROZEN</w:t>
            </w:r>
          </w:p>
        </w:tc>
      </w:tr>
      <w:tr>
        <w:tc>
          <w:tcPr>
            <w:tcW w:type="dxa" w:w="5083"/>
            <w:vAlign w:val="top"/>
          </w:tcPr>
          <w:p>
            <w:r/>
            <w:r>
              <w:rPr>
                <w:rFonts w:ascii="Aptos" w:hAnsi="Aptos"/>
                <w:b w:val="0"/>
                <w:sz w:val="14"/>
              </w:rPr>
              <w:t>Compute calibration procedure</w:t>
            </w:r>
          </w:p>
        </w:tc>
        <w:tc>
          <w:tcPr>
            <w:tcW w:type="dxa" w:w="5083"/>
            <w:vAlign w:val="top"/>
          </w:tcPr>
          <w:p>
            <w:r/>
            <w:r>
              <w:rPr>
                <w:rFonts w:ascii="Aptos" w:hAnsi="Aptos"/>
                <w:b w:val="0"/>
                <w:sz w:val="14"/>
              </w:rPr>
              <w:t>FROZEN; measured value pending</w:t>
            </w:r>
          </w:p>
        </w:tc>
      </w:tr>
      <w:tr>
        <w:tc>
          <w:tcPr>
            <w:tcW w:type="dxa" w:w="5083"/>
            <w:vAlign w:val="top"/>
          </w:tcPr>
          <w:p>
            <w:r/>
            <w:r>
              <w:rPr>
                <w:rFonts w:ascii="Aptos" w:hAnsi="Aptos"/>
                <w:b w:val="0"/>
                <w:sz w:val="14"/>
              </w:rPr>
              <w:t>Ensemble selection procedure</w:t>
            </w:r>
          </w:p>
        </w:tc>
        <w:tc>
          <w:tcPr>
            <w:tcW w:type="dxa" w:w="5083"/>
            <w:vAlign w:val="top"/>
          </w:tcPr>
          <w:p>
            <w:r/>
            <w:r>
              <w:rPr>
                <w:rFonts w:ascii="Aptos" w:hAnsi="Aptos"/>
                <w:b w:val="0"/>
                <w:sz w:val="14"/>
              </w:rPr>
              <w:t>FROZEN; measured N pending</w:t>
            </w:r>
          </w:p>
        </w:tc>
      </w:tr>
      <w:tr>
        <w:tc>
          <w:tcPr>
            <w:tcW w:type="dxa" w:w="5083"/>
            <w:vAlign w:val="top"/>
          </w:tcPr>
          <w:p>
            <w:r/>
            <w:r>
              <w:rPr>
                <w:rFonts w:ascii="Aptos" w:hAnsi="Aptos"/>
                <w:b w:val="0"/>
                <w:sz w:val="14"/>
              </w:rPr>
              <w:t>T1-T12 paper traces</w:t>
            </w:r>
          </w:p>
        </w:tc>
        <w:tc>
          <w:tcPr>
            <w:tcW w:type="dxa" w:w="5083"/>
            <w:vAlign w:val="top"/>
          </w:tcPr>
          <w:p>
            <w:r/>
            <w:r>
              <w:rPr>
                <w:rFonts w:ascii="Aptos" w:hAnsi="Aptos"/>
                <w:b w:val="0"/>
                <w:sz w:val="14"/>
              </w:rPr>
              <w:t>PASS</w:t>
            </w:r>
          </w:p>
        </w:tc>
      </w:tr>
      <w:tr>
        <w:tc>
          <w:tcPr>
            <w:tcW w:type="dxa" w:w="5083"/>
            <w:vAlign w:val="top"/>
          </w:tcPr>
          <w:p>
            <w:r/>
            <w:r>
              <w:rPr>
                <w:rFonts w:ascii="Aptos" w:hAnsi="Aptos"/>
                <w:b w:val="0"/>
                <w:sz w:val="14"/>
              </w:rPr>
              <w:t>Calibration-only implementation</w:t>
            </w:r>
          </w:p>
        </w:tc>
        <w:tc>
          <w:tcPr>
            <w:tcW w:type="dxa" w:w="5083"/>
            <w:vAlign w:val="top"/>
          </w:tcPr>
          <w:p>
            <w:r/>
            <w:r>
              <w:rPr>
                <w:rFonts w:ascii="Aptos" w:hAnsi="Aptos"/>
                <w:b w:val="0"/>
                <w:sz w:val="14"/>
              </w:rPr>
              <w:t>AUTHORIZED</w:t>
            </w:r>
          </w:p>
        </w:tc>
      </w:tr>
      <w:tr>
        <w:tc>
          <w:tcPr>
            <w:tcW w:type="dxa" w:w="5083"/>
            <w:vAlign w:val="top"/>
          </w:tcPr>
          <w:p>
            <w:r/>
            <w:r>
              <w:rPr>
                <w:rFonts w:ascii="Aptos" w:hAnsi="Aptos"/>
                <w:b w:val="0"/>
                <w:sz w:val="14"/>
              </w:rPr>
              <w:t>Primary comparative execution</w:t>
            </w:r>
          </w:p>
        </w:tc>
        <w:tc>
          <w:tcPr>
            <w:tcW w:type="dxa" w:w="5083"/>
            <w:vAlign w:val="top"/>
          </w:tcPr>
          <w:p>
            <w:r/>
            <w:r>
              <w:rPr>
                <w:rFonts w:ascii="Aptos" w:hAnsi="Aptos"/>
                <w:b w:val="0"/>
                <w:sz w:val="14"/>
              </w:rPr>
              <w:t>WITHHELD</w:t>
            </w:r>
          </w:p>
        </w:tc>
      </w:tr>
    </w:tbl>
    <w:p>
      <w:pPr>
        <w:spacing w:after="20"/>
      </w:pPr>
    </w:p>
    <w:p>
      <w:pPr>
        <w:pStyle w:val="Heading1"/>
      </w:pPr>
      <w:r>
        <w:t>21. Manifest Declaration</w:t>
      </w:r>
    </w:p>
    <w:p>
      <w:r>
        <w:t>The Asterion benchmark paper architecture is frozen at this baseline. The purpose of the next phase is to implement what has already been specified and test whether the implementation conforms; it is not to continue designing the benchmark while looking at results.</w:t>
      </w:r>
    </w:p>
    <w:p>
      <w:r>
        <w:t>The only planned pre-primary numerical closures are the common computation ceiling and stochastic ensemble N, both selected under procedures frozen before comparative outcomes. When those values and implementation hashes are recorded in the Calibration Lock Record and all conformance assertions pass, the benchmark may be authorized for its first primary comparative execution.</w:t>
      </w:r>
    </w:p>
    <w:p>
      <w:r>
        <w:t>Manifest disposition: PRE-IMPLEMENTATION PAPER FREEZE COMPLETE. CALIBRATION/CONFORMANCE IMPLEMENTATION AUTHORIZED. PRIMARY A/B/C COMPARATIVE EXECUTION PROHIBITED PENDING CALIBRATION LOCK.</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PVPP Benchmark Pre-Implementation Freeze Manifest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