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Integrated Multi-Agent Productive System Stress Benchmark</w:t>
      </w:r>
    </w:p>
    <w:p>
      <w:pPr>
        <w:jc w:val="center"/>
      </w:pPr>
      <w:r>
        <w:rPr>
          <w:b/>
          <w:sz w:val="24"/>
        </w:rPr>
        <w:t>Primary Comparative Run Attempt Record — Version 1.0</w:t>
      </w:r>
    </w:p>
    <w:p>
      <w:pPr>
        <w:jc w:val="center"/>
      </w:pPr>
      <w:r>
        <w:t>31 August 2026</w:t>
      </w:r>
    </w:p>
    <w:p>
      <w:r>
        <w:rPr>
          <w:b/>
        </w:rPr>
        <w:t>STATUS: EXECUTION ABORTED BEFORE RESULT GENERATION</w:t>
      </w:r>
    </w:p>
    <w:p>
      <w:r>
        <w:t>No deterministic A/B/C challenge result and no stochastic A/B/C ensemble result were generated. No comparative outcome was inspected or used to modify the benchmark.</w:t>
      </w:r>
    </w:p>
    <w:p>
      <w:pPr>
        <w:pStyle w:val="Heading1"/>
      </w:pPr>
      <w:r>
        <w:t>1. Run authorization attempt</w:t>
      </w:r>
    </w:p>
    <w:p>
      <w:r>
        <w:t>The Calibration Lock v1.0 had purported to authorize the primary deterministic challenge and the N=1,000 stochastic A/B/C ensemble. The execution package was therefore invoked in order to begin the run.</w:t>
      </w:r>
    </w:p>
    <w:p>
      <w:pPr>
        <w:pStyle w:val="Heading1"/>
      </w:pPr>
      <w:r>
        <w:t>2. Actual execution result</w:t>
      </w:r>
    </w:p>
    <w:p>
      <w:r>
        <w:t>The packaged primary execution entry point remained hard-locked. A direct invocation raised PrimaryExecutionLocked. A controlled diagnostic then enabled the authorization flag without altering any controller or world rule; the entry point immediately raised NotImplementedError. This proves that the production primary runner itself does not yet exist.</w:t>
      </w:r>
    </w:p>
    <w:p>
      <w:pPr>
        <w:pStyle w:val="Heading1"/>
      </w:pPr>
      <w:r>
        <w:t>3. Readiness defect discovered</w:t>
      </w:r>
    </w:p>
    <w:p>
      <w:r>
        <w:t>Inspection of the source confirms that the current PV-PP A and scalar B modules are explicitly calibration implementations. The A projector states that it is for compute calibration and conformance, not primary-result generation. The scalar B implementation states that stochastic CVaR is deferred to a later event-path implementation. The multi-agent scenario runner likewise states that it is calibration-only and accepts only M root actions rather than executing the full homogeneous A/B/C multi-agent populations.</w:t>
      </w:r>
    </w:p>
    <w:p>
      <w:pPr>
        <w:pStyle w:val="Heading1"/>
      </w:pPr>
      <w:r>
        <w:t>4. Research-integrity consequence</w:t>
      </w:r>
    </w:p>
    <w:p>
      <w:r>
        <w:t>Calibration Lock v1.0 was premature in authorizing primary execution. The calibration and conformance findings remain useful, but the authorization clause is suspended. It would be invalid to treat outputs from the calibration projector or calibration-only scenario runner as benchmark results.</w:t>
      </w:r>
    </w:p>
    <w:p>
      <w:pPr>
        <w:pStyle w:val="Heading1"/>
      </w:pPr>
      <w:r>
        <w:t>5. Required work before a valid run</w:t>
      </w:r>
    </w:p>
    <w:p>
      <w:r>
        <w:t>Before primary execution can occur, the implementation must add a production primary runner; production A, B0/B1-B4, and C controller paths; stochastic B objective evaluation using the frozen 75% expected normalized horizon loss plus 25% CVaR90 rule; full multi-agent decision execution under the frozen common action grammar; paired event-key seed handling; primary ledgers/outcome extraction; invalid-run classification; and immutable raw-result export. Those additions must then pass the existing conformance suite plus execution-specific tests. A revised Calibration Lock must authorize the resulting hashed implementation before the first primary result is generated.</w:t>
      </w:r>
    </w:p>
    <w:p>
      <w:pPr>
        <w:pStyle w:val="Heading1"/>
      </w:pPr>
      <w:r>
        <w:t>6. Machine-observed gate evidence</w:t>
      </w:r>
    </w:p>
    <w:tbl>
      <w:tblPr>
        <w:tblStyle w:val="TableGrid"/>
        <w:tblW w:type="auto" w:w="0"/>
        <w:jc w:val="center"/>
        <w:tblLook w:firstColumn="1" w:firstRow="1" w:lastColumn="0" w:lastRow="0" w:noHBand="0" w:noVBand="1" w:val="04A0"/>
      </w:tblPr>
      <w:tblGrid>
        <w:gridCol w:w="5112"/>
        <w:gridCol w:w="5112"/>
      </w:tblGrid>
      <w:tr>
        <w:tc>
          <w:tcPr>
            <w:tcW w:type="dxa" w:w="5112"/>
          </w:tcPr>
          <w:p>
            <w:r>
              <w:t>Check</w:t>
            </w:r>
          </w:p>
        </w:tc>
        <w:tc>
          <w:tcPr>
            <w:tcW w:type="dxa" w:w="5112"/>
          </w:tcPr>
          <w:p>
            <w:r>
              <w:t>Observed result</w:t>
            </w:r>
          </w:p>
        </w:tc>
      </w:tr>
      <w:tr>
        <w:tc>
          <w:tcPr>
            <w:tcW w:type="dxa" w:w="5112"/>
          </w:tcPr>
          <w:p>
            <w:r>
              <w:t>Normal primary entry point</w:t>
            </w:r>
          </w:p>
        </w:tc>
        <w:tc>
          <w:tcPr>
            <w:tcW w:type="dxa" w:w="5112"/>
          </w:tcPr>
          <w:p>
            <w:r>
              <w:t>PrimaryExecutionLocked: “Primary A/B/C comparative execution is prohibited until the Calibration Lock Record authorizes it.”</w:t>
            </w:r>
          </w:p>
        </w:tc>
      </w:tr>
      <w:tr>
        <w:tc>
          <w:tcPr>
            <w:tcW w:type="dxa" w:w="5112"/>
          </w:tcPr>
          <w:p>
            <w:r>
              <w:t>Authorization flag enabled diagnostically</w:t>
            </w:r>
          </w:p>
        </w:tc>
        <w:tc>
          <w:tcPr>
            <w:tcW w:type="dxa" w:w="5112"/>
          </w:tcPr>
          <w:p>
            <w:r>
              <w:t>NotImplementedError</w:t>
            </w:r>
          </w:p>
        </w:tc>
      </w:tr>
      <w:tr>
        <w:tc>
          <w:tcPr>
            <w:tcW w:type="dxa" w:w="5112"/>
          </w:tcPr>
          <w:p>
            <w:r>
              <w:t>Comparative outputs created</w:t>
            </w:r>
          </w:p>
        </w:tc>
        <w:tc>
          <w:tcPr>
            <w:tcW w:type="dxa" w:w="5112"/>
          </w:tcPr>
          <w:p>
            <w:r>
              <w:t>None</w:t>
            </w:r>
          </w:p>
        </w:tc>
      </w:tr>
      <w:tr>
        <w:tc>
          <w:tcPr>
            <w:tcW w:type="dxa" w:w="5112"/>
          </w:tcPr>
          <w:p>
            <w:r>
              <w:t>Primary seeds consumed for A/B/C outcomes</w:t>
            </w:r>
          </w:p>
        </w:tc>
        <w:tc>
          <w:tcPr>
            <w:tcW w:type="dxa" w:w="5112"/>
          </w:tcPr>
          <w:p>
            <w:r>
              <w:t>None</w:t>
            </w:r>
          </w:p>
        </w:tc>
      </w:tr>
      <w:tr>
        <w:tc>
          <w:tcPr>
            <w:tcW w:type="dxa" w:w="5112"/>
          </w:tcPr>
          <w:p>
            <w:r>
              <w:t>Controller winner/outcome inspection</w:t>
            </w:r>
          </w:p>
        </w:tc>
        <w:tc>
          <w:tcPr>
            <w:tcW w:type="dxa" w:w="5112"/>
          </w:tcPr>
          <w:p>
            <w:r>
              <w:t>None</w:t>
            </w:r>
          </w:p>
        </w:tc>
      </w:tr>
    </w:tbl>
    <w:p>
      <w:pPr>
        <w:pStyle w:val="Heading1"/>
      </w:pPr>
      <w:r>
        <w:t>7. Relevant implementation hashes at aborted run</w:t>
      </w:r>
    </w:p>
    <w:tbl>
      <w:tblPr>
        <w:tblStyle w:val="TableGrid"/>
        <w:tblW w:type="auto" w:w="0"/>
        <w:jc w:val="center"/>
        <w:tblLook w:firstColumn="1" w:firstRow="1" w:lastColumn="0" w:lastRow="0" w:noHBand="0" w:noVBand="1" w:val="04A0"/>
      </w:tblPr>
      <w:tblGrid>
        <w:gridCol w:w="5112"/>
        <w:gridCol w:w="5112"/>
      </w:tblGrid>
      <w:tr>
        <w:tc>
          <w:tcPr>
            <w:tcW w:type="dxa" w:w="5112"/>
          </w:tcPr>
          <w:p>
            <w:r>
              <w:t>File</w:t>
            </w:r>
          </w:p>
        </w:tc>
        <w:tc>
          <w:tcPr>
            <w:tcW w:type="dxa" w:w="5112"/>
          </w:tcPr>
          <w:p>
            <w:r>
              <w:t>SHA-256</w:t>
            </w:r>
          </w:p>
        </w:tc>
      </w:tr>
      <w:tr>
        <w:tc>
          <w:tcPr>
            <w:tcW w:type="dxa" w:w="5112"/>
          </w:tcPr>
          <w:p>
            <w:r>
              <w:t>execution.py</w:t>
            </w:r>
          </w:p>
        </w:tc>
        <w:tc>
          <w:tcPr>
            <w:tcW w:type="dxa" w:w="5112"/>
          </w:tcPr>
          <w:p>
            <w:r>
              <w:t>e8b180449e4995a4a0cd8be70e75424b37794eee168d9d7bb0ea823638013ffd</w:t>
            </w:r>
          </w:p>
        </w:tc>
      </w:tr>
      <w:tr>
        <w:tc>
          <w:tcPr>
            <w:tcW w:type="dxa" w:w="5112"/>
          </w:tcPr>
          <w:p>
            <w:r>
              <w:t>planning.py</w:t>
            </w:r>
          </w:p>
        </w:tc>
        <w:tc>
          <w:tcPr>
            <w:tcW w:type="dxa" w:w="5112"/>
          </w:tcPr>
          <w:p>
            <w:r>
              <w:t>a54a433fbb0f93e9326ff67f944bdacc0f09a5aa201c5c2792a16587ad7efbea</w:t>
            </w:r>
          </w:p>
        </w:tc>
      </w:tr>
      <w:tr>
        <w:tc>
          <w:tcPr>
            <w:tcW w:type="dxa" w:w="5112"/>
          </w:tcPr>
          <w:p>
            <w:r>
              <w:t>scenario.py</w:t>
            </w:r>
          </w:p>
        </w:tc>
        <w:tc>
          <w:tcPr>
            <w:tcW w:type="dxa" w:w="5112"/>
          </w:tcPr>
          <w:p>
            <w:r>
              <w:t>a018a4a448b0735964e39faf0242b1306a1f03b5e9d17fa683c789833bf8c297</w:t>
            </w:r>
          </w:p>
        </w:tc>
      </w:tr>
      <w:tr>
        <w:tc>
          <w:tcPr>
            <w:tcW w:type="dxa" w:w="5112"/>
          </w:tcPr>
          <w:p>
            <w:r>
              <w:t>controllers.py</w:t>
            </w:r>
          </w:p>
        </w:tc>
        <w:tc>
          <w:tcPr>
            <w:tcW w:type="dxa" w:w="5112"/>
          </w:tcPr>
          <w:p>
            <w:r>
              <w:t>250a10f58413e86bdba5d0852362958506d34341b9ecd74794531041986aaa8c</w:t>
            </w:r>
          </w:p>
        </w:tc>
      </w:tr>
      <w:tr>
        <w:tc>
          <w:tcPr>
            <w:tcW w:type="dxa" w:w="5112"/>
          </w:tcPr>
          <w:p>
            <w:r>
              <w:t>engine.py</w:t>
            </w:r>
          </w:p>
        </w:tc>
        <w:tc>
          <w:tcPr>
            <w:tcW w:type="dxa" w:w="5112"/>
          </w:tcPr>
          <w:p>
            <w:r>
              <w:t>d9b602e268adab5bf89a570f008698f319f322f42dd9bd2e468ab5742b95be09</w:t>
            </w:r>
          </w:p>
        </w:tc>
      </w:tr>
    </w:tbl>
    <w:p>
      <w:r>
        <w:rPr>
          <w:b/>
        </w:rPr>
        <w:t xml:space="preserve">Conclusion: </w:t>
      </w:r>
      <w:r>
        <w:t>The requested run was attempted but correctly produced no benchmark result because the production execution layer is incomplete. Primary execution authorization is suspended pending completion and re-lock of the production runner.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