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2"/>
        </w:rPr>
        <w:t>PV-PP Applications and Extensions</w:t>
      </w:r>
    </w:p>
    <w:p>
      <w:pPr>
        <w:jc w:val="center"/>
      </w:pPr>
      <w:r>
        <w:t>Cooperation Access and Typed Relational Memory Insertion Note</w:t>
      </w:r>
    </w:p>
    <w:p>
      <w:pPr>
        <w:jc w:val="center"/>
      </w:pPr>
      <w:r>
        <w:t>Version 0.2 | Master Set Placement: 30 Applications and Extensions / Layer 3</w:t>
      </w:r>
    </w:p>
    <w:p>
      <w:r>
        <w:t>Status: Revised insertion authority. Supersedes version 0.1.</w:t>
      </w:r>
    </w:p>
    <w:p>
      <w:r>
        <w:t>Framework-edition boundary: Cooperation access is treated as a derived result of counterpart identity, typed relational memory, expectation, confidence, guardrails, perceived viability, constraints, adequacy, and available recovery corridors. No independent cooperation-propensity primitive is introduced.</w:t>
      </w:r>
    </w:p>
    <w:p>
      <w:pPr>
        <w:pStyle w:val="Heading1"/>
      </w:pPr>
      <w:r>
        <w:t>1. Purpose</w:t>
      </w:r>
    </w:p>
    <w:p>
      <w:r>
        <w:rPr>
          <w:b/>
        </w:rPr>
        <w:t xml:space="preserve">This insertion note identifies the correct application-layer placement for the Cooperation Access and Typed Relational Memory benchmark family within the PV-PP framework. </w:t>
      </w:r>
      <w:r>
        <w:t>It is not a replacement for the memory-model anchor file, the operator-supporting addendum, or the benchmark run record. Its function is narrower: to tell future readers of the Applications and Extensions compendium why this benchmark family belongs in Layer 3, which artifacts should be treated as compendium-facing, and which artifacts should remain as supporting implementation evidence.</w:t>
      </w:r>
    </w:p>
    <w:p>
      <w:pPr>
        <w:pStyle w:val="Heading1"/>
      </w:pPr>
      <w:r>
        <w:t>2. Recommended Repository Placement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ptos" w:hAnsi="Aptos"/>
                <w:b/>
                <w:sz w:val="18"/>
              </w:rPr>
              <w:t>Item</w:t>
            </w:r>
          </w:p>
        </w:tc>
        <w:tc>
          <w:tcPr>
            <w:tcW w:type="dxa" w:w="4968"/>
            <w:vAlign w:val="top"/>
            <w:shd w:fill="D9EAF7"/>
          </w:tcPr>
          <w:p>
            <w:r/>
            <w:r>
              <w:rPr>
                <w:rFonts w:ascii="Aptos" w:hAnsi="Aptos"/>
                <w:b/>
                <w:sz w:val="18"/>
              </w:rPr>
              <w:t>Placement / Treatment</w:t>
            </w:r>
          </w:p>
        </w:tc>
      </w:tr>
      <w:tr>
        <w:tc>
          <w:tcPr>
            <w:tcW w:type="dxa" w:w="4968"/>
            <w:vAlign w:val="top"/>
          </w:tcPr>
          <w:p>
            <w:r/>
            <w:r>
              <w:rPr>
                <w:rFonts w:ascii="Aptos" w:hAnsi="Aptos"/>
                <w:b w:val="0"/>
                <w:sz w:val="18"/>
              </w:rPr>
              <w:t>This insertion note</w:t>
            </w:r>
          </w:p>
        </w:tc>
        <w:tc>
          <w:tcPr>
            <w:tcW w:type="dxa" w:w="4968"/>
            <w:vAlign w:val="top"/>
          </w:tcPr>
          <w:p>
            <w:r/>
            <w:r>
              <w:rPr>
                <w:rFonts w:ascii="Aptos" w:hAnsi="Aptos"/>
                <w:b w:val="0"/>
                <w:sz w:val="18"/>
              </w:rPr>
              <w:t>30 Applications and Extensions / Layer 3</w:t>
            </w:r>
          </w:p>
        </w:tc>
      </w:tr>
      <w:tr>
        <w:tc>
          <w:tcPr>
            <w:tcW w:type="dxa" w:w="4968"/>
            <w:vAlign w:val="top"/>
          </w:tcPr>
          <w:p>
            <w:r/>
            <w:r>
              <w:rPr>
                <w:rFonts w:ascii="Aptos" w:hAnsi="Aptos"/>
                <w:b w:val="0"/>
                <w:sz w:val="18"/>
              </w:rPr>
              <w:t>Primary benchmark code</w:t>
            </w:r>
          </w:p>
        </w:tc>
        <w:tc>
          <w:tcPr>
            <w:tcW w:type="dxa" w:w="4968"/>
            <w:vAlign w:val="top"/>
          </w:tcPr>
          <w:p>
            <w:r/>
            <w:r>
              <w:rPr>
                <w:rFonts w:ascii="Aptos" w:hAnsi="Aptos"/>
                <w:b w:val="0"/>
                <w:sz w:val="18"/>
              </w:rPr>
              <w:t>30 Applications and Extensions / Simulation Benchmarks / Cooperation Propensity and Relational Memory / Code</w:t>
            </w:r>
          </w:p>
        </w:tc>
      </w:tr>
      <w:tr>
        <w:tc>
          <w:tcPr>
            <w:tcW w:type="dxa" w:w="4968"/>
            <w:vAlign w:val="top"/>
          </w:tcPr>
          <w:p>
            <w:r/>
            <w:r>
              <w:rPr>
                <w:rFonts w:ascii="Aptos" w:hAnsi="Aptos"/>
                <w:b w:val="0"/>
                <w:sz w:val="18"/>
              </w:rPr>
              <w:t>Run records and interpretation memos</w:t>
            </w:r>
          </w:p>
        </w:tc>
        <w:tc>
          <w:tcPr>
            <w:tcW w:type="dxa" w:w="4968"/>
            <w:vAlign w:val="top"/>
          </w:tcPr>
          <w:p>
            <w:r/>
            <w:r>
              <w:rPr>
                <w:rFonts w:ascii="Aptos" w:hAnsi="Aptos"/>
                <w:b w:val="0"/>
                <w:sz w:val="18"/>
              </w:rPr>
              <w:t>30 Applications and Extensions / Simulation Benchmarks / Cooperation Propensity and Relational Memory / Run Records or Outputs</w:t>
            </w:r>
          </w:p>
        </w:tc>
      </w:tr>
      <w:tr>
        <w:tc>
          <w:tcPr>
            <w:tcW w:type="dxa" w:w="4968"/>
            <w:vAlign w:val="top"/>
          </w:tcPr>
          <w:p>
            <w:r/>
            <w:r>
              <w:rPr>
                <w:rFonts w:ascii="Aptos" w:hAnsi="Aptos"/>
                <w:b w:val="0"/>
                <w:sz w:val="18"/>
              </w:rPr>
              <w:t>Validation memo</w:t>
            </w:r>
          </w:p>
        </w:tc>
        <w:tc>
          <w:tcPr>
            <w:tcW w:type="dxa" w:w="4968"/>
            <w:vAlign w:val="top"/>
          </w:tcPr>
          <w:p>
            <w:r/>
            <w:r>
              <w:rPr>
                <w:rFonts w:ascii="Aptos" w:hAnsi="Aptos"/>
                <w:b w:val="0"/>
                <w:sz w:val="18"/>
              </w:rPr>
              <w:t>30 Applications and Extensions / Simulation Benchmarks / Cooperation Propensity and Relational Memory / Validation</w:t>
            </w:r>
          </w:p>
        </w:tc>
      </w:tr>
      <w:tr>
        <w:tc>
          <w:tcPr>
            <w:tcW w:type="dxa" w:w="4968"/>
            <w:vAlign w:val="top"/>
          </w:tcPr>
          <w:p>
            <w:r/>
            <w:r>
              <w:rPr>
                <w:rFonts w:ascii="Aptos" w:hAnsi="Aptos"/>
                <w:b w:val="0"/>
                <w:sz w:val="18"/>
              </w:rPr>
              <w:t>Archived prior code/output versions</w:t>
            </w:r>
          </w:p>
        </w:tc>
        <w:tc>
          <w:tcPr>
            <w:tcW w:type="dxa" w:w="4968"/>
            <w:vAlign w:val="top"/>
          </w:tcPr>
          <w:p>
            <w:r/>
            <w:r>
              <w:rPr>
                <w:rFonts w:ascii="Aptos" w:hAnsi="Aptos"/>
                <w:b w:val="0"/>
                <w:sz w:val="18"/>
              </w:rPr>
              <w:t>Archive subfolder only; do not treat as current compendium-facing material</w:t>
            </w:r>
          </w:p>
        </w:tc>
      </w:tr>
    </w:tbl>
    <w:p>
      <w:pPr>
        <w:pStyle w:val="Heading1"/>
      </w:pPr>
      <w:r>
        <w:t>3. Layer 3 Classification</w:t>
      </w:r>
    </w:p>
    <w:p>
      <w:r>
        <w:t xml:space="preserve">The benchmark family is primarily a Layer 3 application because it implements framework concepts in a bounded case environment. </w:t>
      </w:r>
      <w:r>
        <w:t>It demonstrates how relationally conditioned cooperation access, typed relational memory, guarded cooperation, recovery-corridor specificity, and reserve reconstruction can be operationalized in a simulation. It does not, by itself, revise the canonical operator stack or prove a general Layer 4 scaling theorem.</w:t>
      </w:r>
    </w:p>
    <w:p>
      <w:pPr>
        <w:pStyle w:val="Heading2"/>
      </w:pPr>
      <w:r>
        <w:t>3.1 Why this is not merely a raw simulation artifact</w:t>
      </w:r>
    </w:p>
    <w:p>
      <w:pPr>
        <w:ind w:left="360"/>
      </w:pPr>
      <w:r>
        <w:t>• It tests relationship-specific memory rather than generic memory accumulation.</w:t>
      </w:r>
    </w:p>
    <w:p>
      <w:pPr>
        <w:ind w:left="360"/>
      </w:pPr>
      <w:r>
        <w:t>• It distinguishes typed memory from no-memory and crude-memory modes.</w:t>
      </w:r>
    </w:p>
    <w:p>
      <w:pPr>
        <w:ind w:left="360"/>
      </w:pPr>
      <w:r>
        <w:t>• It uses explicit failure-mode metrics: full-trust reentry, unguarded leakage, stale-positive override, generalized distrust, candidate-field suppression, generic recovery laundering, and reserve-rebuild failure.</w:t>
      </w:r>
    </w:p>
    <w:p>
      <w:pPr>
        <w:ind w:left="360"/>
      </w:pPr>
      <w:r>
        <w:t>• It links decision behavior to PV-PP viability preservation, partner-specific expectations, guardrail state, and recovery requirements rather than simple reward maximization.</w:t>
      </w:r>
    </w:p>
    <w:p>
      <w:pPr>
        <w:ind w:left="360"/>
      </w:pPr>
      <w:r>
        <w:t>• It shows how relational memory can reopen bounded cooperation without laundering a prior defector into full unguarded trust.</w:t>
      </w:r>
    </w:p>
    <w:p>
      <w:pPr>
        <w:pStyle w:val="Heading1"/>
      </w:pPr>
      <w:r>
        <w:t>4. Compendium Inclusion Rule</w:t>
      </w:r>
    </w:p>
    <w:p>
      <w:r>
        <w:t xml:space="preserve">The Applications and Extensions compendium should include the benchmark family at the level of architecture, interpretation, and validation. It should not absorb every raw output file, intermediate code version, or trace artifact. </w:t>
      </w:r>
      <w:r>
        <w:t>A compendium is a reader-facing synthesis, not a file dump.</w:t>
      </w:r>
    </w:p>
    <w:p>
      <w:pPr>
        <w:pStyle w:val="Heading2"/>
      </w:pPr>
      <w:r>
        <w:t>4.1 Include in the 30 Applications and Extensions compendium</w:t>
      </w:r>
    </w:p>
    <w:p>
      <w:pPr>
        <w:ind w:left="360"/>
      </w:pPr>
      <w:r>
        <w:t>• PV-PP Cooperation Access and Relational Memory Micro-Simulation - Master Set Insertion Note v0.1.docx</w:t>
      </w:r>
    </w:p>
    <w:p>
      <w:pPr>
        <w:ind w:left="360"/>
      </w:pPr>
      <w:r>
        <w:t>• PV-PP Cooperation Access and Relational Memory Simulation - v0.22 Run Record and Interpretation.docx</w:t>
      </w:r>
    </w:p>
    <w:p>
      <w:pPr>
        <w:ind w:left="360"/>
      </w:pPr>
      <w:r>
        <w:t>• PV-PP_Cooperation_Propensity_and_Relational_Memory_Benchmark_Note_v0_1.docx</w:t>
      </w:r>
    </w:p>
    <w:p>
      <w:pPr>
        <w:ind w:left="360"/>
      </w:pPr>
      <w:r>
        <w:t>• PV-PP_Cooperation_Propensity_and_Relational_Memory_Extended_Validation_Memo_v0_1.docx</w:t>
      </w:r>
    </w:p>
    <w:p>
      <w:pPr>
        <w:pStyle w:val="Heading2"/>
      </w:pPr>
      <w:r>
        <w:t>4.2 Exclude from the main compendium body</w:t>
      </w:r>
    </w:p>
    <w:p>
      <w:pPr>
        <w:ind w:left="360"/>
      </w:pPr>
      <w:r>
        <w:t>• Raw CSV outputs and batch text files.</w:t>
      </w:r>
    </w:p>
    <w:p>
      <w:pPr>
        <w:ind w:left="360"/>
      </w:pPr>
      <w:r>
        <w:t>• Old v0.10/v0.11/v0.21 notes unless explicitly marked as historical provenance.</w:t>
      </w:r>
    </w:p>
    <w:p>
      <w:pPr>
        <w:ind w:left="360"/>
      </w:pPr>
      <w:r>
        <w:t>• Archived code variants.</w:t>
      </w:r>
    </w:p>
    <w:p>
      <w:pPr>
        <w:ind w:left="360"/>
      </w:pPr>
      <w:r>
        <w:t>• Trace-standard notes and development logs, except as appendix material if needed.</w:t>
      </w:r>
    </w:p>
    <w:p>
      <w:pPr>
        <w:ind w:left="360"/>
      </w:pPr>
      <w:r>
        <w:t>• Duplicative stochastic-result memos when the v0.22 run record already absorbs the result interpretation.</w:t>
      </w:r>
    </w:p>
    <w:p>
      <w:pPr>
        <w:pStyle w:val="Heading1"/>
      </w:pPr>
      <w:r>
        <w:t>5. Framework Touchpoints</w:t>
      </w:r>
    </w:p>
    <w:p>
      <w:r>
        <w:t>Although this is a Layer 3 application note, the benchmark family has framework-wide touchpoints. These touchpoints should be cross-referenced, not prematurely rewritten into canonical operator files until the framework maintainer decides to migrate them.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Framework Area</w:t>
            </w:r>
          </w:p>
        </w:tc>
        <w:tc>
          <w:tcPr>
            <w:tcW w:type="dxa" w:w="3312"/>
            <w:vAlign w:val="top"/>
            <w:shd w:fill="D9EAF7"/>
          </w:tcPr>
          <w:p>
            <w:r/>
            <w:r>
              <w:rPr>
                <w:rFonts w:ascii="Aptos" w:hAnsi="Aptos"/>
                <w:b/>
                <w:sz w:val="18"/>
              </w:rPr>
              <w:t>Touchpoint</w:t>
            </w:r>
          </w:p>
        </w:tc>
        <w:tc>
          <w:tcPr>
            <w:tcW w:type="dxa" w:w="3312"/>
            <w:vAlign w:val="top"/>
            <w:shd w:fill="D9EAF7"/>
          </w:tcPr>
          <w:p>
            <w:r/>
            <w:r>
              <w:rPr>
                <w:rFonts w:ascii="Aptos" w:hAnsi="Aptos"/>
                <w:b/>
                <w:sz w:val="18"/>
              </w:rPr>
              <w:t>Current Treatment</w:t>
            </w:r>
          </w:p>
        </w:tc>
      </w:tr>
      <w:tr>
        <w:tc>
          <w:tcPr>
            <w:tcW w:type="dxa" w:w="3312"/>
            <w:vAlign w:val="top"/>
          </w:tcPr>
          <w:p>
            <w:r/>
            <w:r>
              <w:rPr>
                <w:rFonts w:ascii="Aptos" w:hAnsi="Aptos"/>
                <w:b w:val="0"/>
                <w:sz w:val="18"/>
              </w:rPr>
              <w:t>Layer 1 / PP State</w:t>
            </w:r>
          </w:p>
        </w:tc>
        <w:tc>
          <w:tcPr>
            <w:tcW w:type="dxa" w:w="3312"/>
            <w:vAlign w:val="top"/>
          </w:tcPr>
          <w:p>
            <w:r/>
            <w:r>
              <w:rPr>
                <w:rFonts w:ascii="Aptos" w:hAnsi="Aptos"/>
                <w:b w:val="0"/>
                <w:sz w:val="18"/>
              </w:rPr>
              <w:t>Relational memory affects retrieved partner-specific evidence, expectations, confidence, candidate-policy visibility, available cooperation paths, recovery options, and future PP trajectories.</w:t>
            </w:r>
          </w:p>
        </w:tc>
        <w:tc>
          <w:tcPr>
            <w:tcW w:type="dxa" w:w="3312"/>
            <w:vAlign w:val="top"/>
          </w:tcPr>
          <w:p>
            <w:r/>
            <w:r>
              <w:rPr>
                <w:rFonts w:ascii="Aptos" w:hAnsi="Aptos"/>
                <w:b w:val="0"/>
                <w:sz w:val="18"/>
              </w:rPr>
              <w:t>Cross-reference only; do not redefine Layer 1.</w:t>
            </w:r>
          </w:p>
        </w:tc>
      </w:tr>
      <w:tr>
        <w:tc>
          <w:tcPr>
            <w:tcW w:type="dxa" w:w="3312"/>
            <w:vAlign w:val="top"/>
          </w:tcPr>
          <w:p>
            <w:r/>
            <w:r>
              <w:rPr>
                <w:rFonts w:ascii="Aptos" w:hAnsi="Aptos"/>
                <w:b w:val="0"/>
                <w:sz w:val="18"/>
              </w:rPr>
              <w:t>PPP / Perception</w:t>
            </w:r>
          </w:p>
        </w:tc>
        <w:tc>
          <w:tcPr>
            <w:tcW w:type="dxa" w:w="3312"/>
            <w:vAlign w:val="top"/>
          </w:tcPr>
          <w:p>
            <w:r/>
            <w:r>
              <w:rPr>
                <w:rFonts w:ascii="Aptos" w:hAnsi="Aptos"/>
                <w:b w:val="0"/>
                <w:sz w:val="18"/>
              </w:rPr>
              <w:t>Retrieved relational memory can alter perceived partner reliability, expected outcome, confidence, PVS, candidate-policy visibility, and action salience.</w:t>
            </w:r>
          </w:p>
        </w:tc>
        <w:tc>
          <w:tcPr>
            <w:tcW w:type="dxa" w:w="3312"/>
            <w:vAlign w:val="top"/>
          </w:tcPr>
          <w:p>
            <w:r/>
            <w:r>
              <w:rPr>
                <w:rFonts w:ascii="Aptos" w:hAnsi="Aptos"/>
                <w:b w:val="0"/>
                <w:sz w:val="18"/>
              </w:rPr>
              <w:t>Document as implementation influence.</w:t>
            </w:r>
          </w:p>
        </w:tc>
      </w:tr>
      <w:tr>
        <w:tc>
          <w:tcPr>
            <w:tcW w:type="dxa" w:w="3312"/>
            <w:vAlign w:val="top"/>
          </w:tcPr>
          <w:p>
            <w:r/>
            <w:r>
              <w:rPr>
                <w:rFonts w:ascii="Aptos" w:hAnsi="Aptos"/>
                <w:b w:val="0"/>
                <w:sz w:val="18"/>
              </w:rPr>
              <w:t>Constraints</w:t>
            </w:r>
          </w:p>
        </w:tc>
        <w:tc>
          <w:tcPr>
            <w:tcW w:type="dxa" w:w="3312"/>
            <w:vAlign w:val="top"/>
          </w:tcPr>
          <w:p>
            <w:r/>
            <w:r>
              <w:rPr>
                <w:rFonts w:ascii="Aptos" w:hAnsi="Aptos"/>
                <w:b w:val="0"/>
                <w:sz w:val="18"/>
              </w:rPr>
              <w:t>Known defection can make unguarded cooperation fail even when bounded cooperation remains permitted.</w:t>
            </w:r>
          </w:p>
        </w:tc>
        <w:tc>
          <w:tcPr>
            <w:tcW w:type="dxa" w:w="3312"/>
            <w:vAlign w:val="top"/>
          </w:tcPr>
          <w:p>
            <w:r/>
            <w:r>
              <w:rPr>
                <w:rFonts w:ascii="Aptos" w:hAnsi="Aptos"/>
                <w:b w:val="0"/>
                <w:sz w:val="18"/>
              </w:rPr>
              <w:t>Operator-supporting addendum should flag this.</w:t>
            </w:r>
          </w:p>
        </w:tc>
      </w:tr>
      <w:tr>
        <w:tc>
          <w:tcPr>
            <w:tcW w:type="dxa" w:w="3312"/>
            <w:vAlign w:val="top"/>
          </w:tcPr>
          <w:p>
            <w:r/>
            <w:r>
              <w:rPr>
                <w:rFonts w:ascii="Aptos" w:hAnsi="Aptos"/>
                <w:b w:val="0"/>
                <w:sz w:val="18"/>
              </w:rPr>
              <w:t>Domain Framing</w:t>
            </w:r>
          </w:p>
        </w:tc>
        <w:tc>
          <w:tcPr>
            <w:tcW w:type="dxa" w:w="3312"/>
            <w:vAlign w:val="top"/>
          </w:tcPr>
          <w:p>
            <w:r/>
            <w:r>
              <w:rPr>
                <w:rFonts w:ascii="Aptos" w:hAnsi="Aptos"/>
                <w:b w:val="0"/>
                <w:sz w:val="18"/>
              </w:rPr>
              <w:t>Typed memory identifies the counterparty, interaction type, affected domain, outcome, guardrail state, and recovery path relevant to the present decision.</w:t>
            </w:r>
          </w:p>
        </w:tc>
        <w:tc>
          <w:tcPr>
            <w:tcW w:type="dxa" w:w="3312"/>
            <w:vAlign w:val="top"/>
          </w:tcPr>
          <w:p>
            <w:r/>
            <w:r>
              <w:rPr>
                <w:rFonts w:ascii="Aptos" w:hAnsi="Aptos"/>
                <w:b w:val="0"/>
                <w:sz w:val="18"/>
              </w:rPr>
              <w:t>Use as application evidence for typed-domain framing.</w:t>
            </w:r>
          </w:p>
        </w:tc>
      </w:tr>
      <w:tr>
        <w:tc>
          <w:tcPr>
            <w:tcW w:type="dxa" w:w="3312"/>
            <w:vAlign w:val="top"/>
          </w:tcPr>
          <w:p>
            <w:r/>
            <w:r>
              <w:rPr>
                <w:rFonts w:ascii="Aptos" w:hAnsi="Aptos"/>
                <w:b w:val="0"/>
                <w:sz w:val="18"/>
              </w:rPr>
              <w:t>Adequacy</w:t>
            </w:r>
          </w:p>
        </w:tc>
        <w:tc>
          <w:tcPr>
            <w:tcW w:type="dxa" w:w="3312"/>
            <w:vAlign w:val="top"/>
          </w:tcPr>
          <w:p>
            <w:r/>
            <w:r>
              <w:rPr>
                <w:rFonts w:ascii="Aptos" w:hAnsi="Aptos"/>
                <w:b w:val="0"/>
                <w:sz w:val="18"/>
              </w:rPr>
              <w:t>Recovery adequacy must distinguish generic stabilization from domain-specific recovery, SPV reconstruction, PP restoration, and reserve rebuilding.</w:t>
            </w:r>
          </w:p>
        </w:tc>
        <w:tc>
          <w:tcPr>
            <w:tcW w:type="dxa" w:w="3312"/>
            <w:vAlign w:val="top"/>
          </w:tcPr>
          <w:p>
            <w:r/>
            <w:r>
              <w:rPr>
                <w:rFonts w:ascii="Aptos" w:hAnsi="Aptos"/>
                <w:b w:val="0"/>
                <w:sz w:val="18"/>
              </w:rPr>
              <w:t>Cross-reference to adequacy/recovery-corridor standards.</w:t>
            </w:r>
          </w:p>
        </w:tc>
      </w:tr>
      <w:tr>
        <w:tc>
          <w:tcPr>
            <w:tcW w:type="dxa" w:w="3312"/>
            <w:vAlign w:val="top"/>
          </w:tcPr>
          <w:p>
            <w:r/>
            <w:r>
              <w:rPr>
                <w:rFonts w:ascii="Aptos" w:hAnsi="Aptos"/>
                <w:b w:val="0"/>
                <w:sz w:val="18"/>
              </w:rPr>
              <w:t>Σ / Selection</w:t>
            </w:r>
          </w:p>
        </w:tc>
        <w:tc>
          <w:tcPr>
            <w:tcW w:type="dxa" w:w="3312"/>
            <w:vAlign w:val="top"/>
          </w:tcPr>
          <w:p>
            <w:r/>
            <w:r>
              <w:rPr>
                <w:rFonts w:ascii="Aptos" w:hAnsi="Aptos"/>
                <w:b w:val="0"/>
                <w:sz w:val="18"/>
              </w:rPr>
              <w:t>Selection may favor bounded cooperation, guarded re-entry, SPV reconstruction, or PP restoration where viability requires it, rather than the highest immediate exchange payoff.</w:t>
            </w:r>
          </w:p>
        </w:tc>
        <w:tc>
          <w:tcPr>
            <w:tcW w:type="dxa" w:w="3312"/>
            <w:vAlign w:val="top"/>
          </w:tcPr>
          <w:p>
            <w:r/>
            <w:r>
              <w:rPr>
                <w:rFonts w:ascii="Aptos" w:hAnsi="Aptos"/>
                <w:b w:val="0"/>
                <w:sz w:val="18"/>
              </w:rPr>
              <w:t>Do not canonicalize yet; cite as benchmark behavior.</w:t>
            </w:r>
          </w:p>
        </w:tc>
      </w:tr>
      <w:tr>
        <w:tc>
          <w:tcPr>
            <w:tcW w:type="dxa" w:w="3312"/>
            <w:vAlign w:val="top"/>
          </w:tcPr>
          <w:p>
            <w:r/>
            <w:r>
              <w:rPr>
                <w:rFonts w:ascii="Aptos" w:hAnsi="Aptos"/>
                <w:b w:val="0"/>
                <w:sz w:val="18"/>
              </w:rPr>
              <w:t>Layer 4B</w:t>
            </w:r>
          </w:p>
        </w:tc>
        <w:tc>
          <w:tcPr>
            <w:tcW w:type="dxa" w:w="3312"/>
            <w:vAlign w:val="top"/>
          </w:tcPr>
          <w:p>
            <w:r/>
            <w:r>
              <w:rPr>
                <w:rFonts w:ascii="Aptos" w:hAnsi="Aptos"/>
                <w:b w:val="0"/>
                <w:sz w:val="18"/>
              </w:rPr>
              <w:t>Relational memory and cooperation access imply multi-agent scaling, configuration-dependent PP, and relationally conditioned policy-access implications.</w:t>
            </w:r>
          </w:p>
        </w:tc>
        <w:tc>
          <w:tcPr>
            <w:tcW w:type="dxa" w:w="3312"/>
            <w:vAlign w:val="top"/>
          </w:tcPr>
          <w:p>
            <w:r/>
            <w:r>
              <w:rPr>
                <w:rFonts w:ascii="Aptos" w:hAnsi="Aptos"/>
                <w:b w:val="0"/>
                <w:sz w:val="18"/>
              </w:rPr>
              <w:t>Create optional Layer 4B cross-reference note later.</w:t>
            </w:r>
          </w:p>
        </w:tc>
      </w:tr>
    </w:tbl>
    <w:p>
      <w:pPr>
        <w:pStyle w:val="Heading1"/>
      </w:pPr>
      <w:r>
        <w:t>5A. Framework-Edition Interpretation</w:t>
      </w:r>
    </w:p>
    <w:p>
      <w:r>
        <w:t>The benchmark should be read through the revised persistent-state architecture. Typed relational memory is stored informational persistence. Retrieved memory alters expectation, confidence, perceived counterpart reliability, PVS, candidate-policy visibility, and constraints. Guarded cooperation becomes live only where the candidate policy survives constraints and adequacy and is then selected and realized through the ordinary stack.</w:t>
      </w:r>
    </w:p>
    <w:p>
      <w:r>
        <w:t>The same agent may therefore have different reachable cooperation policies with different counterparties even when the agent's general PP is unchanged. This is relationally conditioned policy access, not a separate cooperation instinct or cooperation score.</w:t>
      </w:r>
    </w:p>
    <w:p>
      <w:pPr>
        <w:pStyle w:val="Heading1"/>
      </w:pPr>
      <w:r>
        <w:t>6. Summary of Demonstrated Application Behavior</w:t>
      </w:r>
    </w:p>
    <w:p>
      <w:pPr>
        <w:ind w:left="360"/>
      </w:pPr>
      <w:r>
        <w:t>• Typed relational memory supports relationship-specific policy access rather than global trust or global distrust.</w:t>
      </w:r>
    </w:p>
    <w:p>
      <w:pPr>
        <w:ind w:left="360"/>
      </w:pPr>
      <w:r>
        <w:t>• A prior defector may re-enter the live cooperation set only through bounded or guarded forms, such as contract-mediated interaction, when constraints and adequacy permit it.</w:t>
      </w:r>
    </w:p>
    <w:p>
      <w:pPr>
        <w:ind w:left="360"/>
      </w:pPr>
      <w:r>
        <w:t>• Crude memory tends to suppress the candidate-policy field through generalized distrust rather than preserving selective, relationship-specific cooperation access.</w:t>
      </w:r>
    </w:p>
    <w:p>
      <w:pPr>
        <w:ind w:left="360"/>
      </w:pPr>
      <w:r>
        <w:t>• No-memory modes lack retained defection structure and therefore rely more heavily on external guardrails, default constraints, or repeated exposure patterns.</w:t>
      </w:r>
    </w:p>
    <w:p>
      <w:pPr>
        <w:ind w:left="360"/>
      </w:pPr>
      <w:r>
        <w:t>• Reserve reconstruction extends recovery beyond immediate survival stabilization by rebuilding domain margins, available SPV, relevant PP, and credible cooperation corridors above floor conditions.</w:t>
      </w:r>
    </w:p>
    <w:p>
      <w:pPr>
        <w:ind w:left="360"/>
      </w:pPr>
      <w:r>
        <w:t>• The benchmark result should be treated as application evidence, not as proof of the whole PV-PP framework.</w:t>
      </w:r>
    </w:p>
    <w:p>
      <w:pPr>
        <w:pStyle w:val="Heading1"/>
      </w:pPr>
      <w:r>
        <w:t>7. Recommended Compendium Entry Text</w:t>
      </w:r>
    </w:p>
    <w:p>
      <w:r>
        <w:rPr>
          <w:b/>
        </w:rPr>
        <w:t>Recommended language for the 30 Applications and Extensions compendium:</w:t>
      </w:r>
    </w:p>
    <w:p>
      <w:pPr>
        <w:ind w:left="432" w:right="432"/>
      </w:pPr>
      <w:r>
        <w:t>The Cooperation Access and Typed Relational Memory benchmark family is a Layer 3 application-layer simulation line. It demonstrates how the PV-PP framework can represent relationship-specific policy access, typed memory retrieval, guarded re-entry after defection, recovery-corridor specificity, and post-crisis reconstruction of SPV, PP, and domain margins. The benchmark contrasts typed memory against no-memory and crude-memory modes. Its current v0.22 results show bounded cooperation without full-trust laundering, zero unguarded leakage in the tested runs, and stronger corridor reconstruction behavior under typed memory. These are benchmark-specific observations, not universal cooperation laws. These are benchmark-specific observations, not universal cooperation laws. These results remain toy benchmark evidence and should not be read as validation of the full framework.</w:t>
      </w:r>
    </w:p>
    <w:p>
      <w:pPr>
        <w:pStyle w:val="Heading1"/>
      </w:pPr>
      <w:r>
        <w:t>8. Migration Guidance</w:t>
      </w:r>
    </w:p>
    <w:p>
      <w:r>
        <w:rPr>
          <w:b/>
        </w:rPr>
        <w:t xml:space="preserve">This note should be treated as an insertion bridge. </w:t>
      </w:r>
      <w:r>
        <w:t>It authorizes inclusion of the benchmark family in the Applications and Extensions compendium and preserves cross-framework implications for later operator migration. It does not independently revise Layer 4A, Layer 4B, or the canonical operator stack. Cross-file migration must occur through the controlling Layer 3 and Layer 4 disposition and revision process. The Layer 4B cross-reference should describe configuration-dependent PP, relationally conditioned policy access, guarded cooperation scaling, and relational recovery without introducing a new field primitive.</w:t>
      </w:r>
    </w:p>
    <w:p>
      <w:pPr>
        <w:pStyle w:val="Heading1"/>
      </w:pPr>
      <w:r>
        <w:t>9. Bottom Line</w:t>
      </w:r>
    </w:p>
    <w:p>
      <w:r>
        <w:rPr>
          <w:b/>
        </w:rPr>
        <w:t xml:space="preserve">Place this document in: </w:t>
      </w:r>
      <w:r>
        <w:t>30 Applications and Extensions / Layer 3</w:t>
      </w:r>
    </w:p>
    <w:p>
      <w:r>
        <w:t>Use it as the compendium-facing insertion marker for the Cooperation Access and Typed Relational Memory benchmark family and as the authority boundary preventing benchmark-specific behavior from being promoted into a new primitive. Keep raw code, CSVs, traces, and historical outputs in the Simulation Benchmarks folder. Do not inflate the compendium with intermediate artifacts.</w:t>
      </w:r>
    </w:p>
    <w:p>
      <w:pPr>
        <w:pStyle w:val="Heading1"/>
      </w:pPr>
      <w:r>
        <w:t>10. Authority and Supersession</w:t>
      </w:r>
    </w:p>
    <w:p>
      <w:r>
        <w:t>Version 0.2 supersedes version 0.1 as the current Applications and Extensions insertion note for this benchmark family.</w:t>
      </w:r>
    </w:p>
    <w:p>
      <w:r>
        <w:t>This note remains a Layer 3 placement and interpretation authority. It does not supersede the memory-model authority, operator specifications, benchmark run records, or Layer 4 extension files.</w:t>
      </w:r>
    </w:p>
    <w:p>
      <w:r>
        <w:t>The benchmark supports the usefulness of typed relational memory and guarded cooperation in the tested environment. It does not establish a universal cooperation-propensity variable, a general social-field primitive, or validation of the full PV-PP framework.</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Cooperation Access and Typed Relational Memory Insertion Note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Applications and Extensions - Cooperation Propensity and Typed Relational Memory Insertion Note v0.1</dc:title>
  <dc:subject>Layer 3 insertion note for the Cooperation Propensity and Typed Relational Memory benchmark family</dc:subject>
  <dc:creator>Lance Amundsen / PV-PP Framework</dc:creator>
  <cp:keywords/>
  <dc:description>Generated as a Master Set insertion support document.</dc:description>
  <cp:lastModifiedBy/>
  <cp:revision>1</cp:revision>
  <dcterms:created xsi:type="dcterms:W3CDTF">2013-12-23T23:15:00Z</dcterms:created>
  <dcterms:modified xsi:type="dcterms:W3CDTF">2013-12-23T23:15:00Z</dcterms:modified>
  <cp:category/>
</cp:coreProperties>
</file>