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PB-005</w:t>
      </w:r>
    </w:p>
    <w:p>
      <w:pPr>
        <w:jc w:val="center"/>
      </w:pPr>
      <w:r>
        <w:rPr>
          <w:i/>
        </w:rPr>
        <w:t>Distributional Shift — Final Closeout v1.0</w:t>
      </w:r>
    </w:p>
    <w:p>
      <w:pPr>
        <w:pStyle w:val="Heading1"/>
      </w:pPr>
      <w:r>
        <w:t>1. Final status</w:t>
      </w:r>
    </w:p>
    <w:p>
      <w:r>
        <w:t>PB-005: CLOSED. Verdict: PASS at the frozen mechanism-test level. Canonical architecture change: NONE.</w:t>
      </w:r>
    </w:p>
    <w:p>
      <w:pPr>
        <w:pStyle w:val="Heading1"/>
      </w:pPr>
      <w:r>
        <w:t>2. Principal result</w:t>
      </w:r>
    </w:p>
    <w:p>
      <w:r>
        <w:t>A training-perfect cue association failed after the evaluation distribution changed. The adaptive PV-PP condition did not anticipate the shift. It made the same first mistake as the frozen comparator, then used the realized mismatch to revise the relevant expectation and stopped repeating the error. Across 20 shifted cases, the frozen comparator suffered 20 harmful outcomes; the adaptive condition suffered 1.</w:t>
      </w:r>
    </w:p>
    <w:p>
      <w:pPr>
        <w:pStyle w:val="Heading1"/>
      </w:pPr>
      <w:r>
        <w:t>3. Why the result matters</w:t>
      </w:r>
    </w:p>
    <w:p>
      <w:r>
        <w:t>The benchmark targets a central failure mode in learned decision systems: treating a training correlation as if it were an invariant property of reality. PV-PP's current architecture already separates actual state, perceived/interpreted information, memory, expectation, confidence/calibration, policy choice, realized outcome, and prediction-error update. PB-005 used those separations without adding a distribution-shift-specific operator.</w:t>
      </w:r>
    </w:p>
    <w:p>
      <w:pPr>
        <w:pStyle w:val="Heading1"/>
      </w:pPr>
      <w:r>
        <w:t>4. What the result does not show</w:t>
      </w:r>
    </w:p>
    <w:p>
      <w:pPr>
        <w:pStyle w:val="ListBullet"/>
      </w:pPr>
      <w:r>
        <w:t>It does not show that PV-PP detects a shift before contradictory evidence exists.</w:t>
      </w:r>
    </w:p>
    <w:p>
      <w:pPr>
        <w:pStyle w:val="ListBullet"/>
      </w:pPr>
      <w:r>
        <w:t>It does not establish general out-of-distribution robustness.</w:t>
      </w:r>
    </w:p>
    <w:p>
      <w:pPr>
        <w:pStyle w:val="ListBullet"/>
      </w:pPr>
      <w:r>
        <w:t>It is not a matched A2C/Rainbow training comparison on the full original gridworld.</w:t>
      </w:r>
    </w:p>
    <w:p>
      <w:pPr>
        <w:pStyle w:val="ListBullet"/>
      </w:pPr>
      <w:r>
        <w:t>It does not test gradual or noisy drift, multiple simultaneous shifted relations, or deceptive feedback.</w:t>
      </w:r>
    </w:p>
    <w:p>
      <w:pPr>
        <w:pStyle w:val="ListBullet"/>
      </w:pPr>
      <w:r>
        <w:t>It does not justify global distrust after a localized error.</w:t>
      </w:r>
    </w:p>
    <w:p>
      <w:pPr>
        <w:pStyle w:val="Heading1"/>
      </w:pPr>
      <w:r>
        <w:t>5. Architecture determination</w:t>
      </w:r>
    </w:p>
    <w:p>
      <w:r>
        <w:t>No new operator, scalar confidence variable, global anomaly detector, or hidden-truth mechanism is warranted. The existing expectation, memory, confidence, prediction-error, and actual/perceived-state boundaries were sufficient for the frozen test.</w:t>
      </w:r>
    </w:p>
    <w:p>
      <w:pPr>
        <w:pStyle w:val="Heading1"/>
      </w:pPr>
      <w:r>
        <w:t>6. Closure rule</w:t>
      </w:r>
    </w:p>
    <w:p>
      <w:r>
        <w:t>PB-005 is retained as a positive but bounded public-benchmark-derived mechanism test. Any full original-environment RL reproduction or harder distribution-shift variant must be separately frozen and must not retroactively enlarge this result.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