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PV-PP Public Benchmark PB-007</w:t>
      </w:r>
    </w:p>
    <w:p>
      <w:pPr>
        <w:jc w:val="center"/>
      </w:pPr>
      <w:r>
        <w:rPr>
          <w:i/>
        </w:rPr>
        <w:t>Safe Interruptibility — Final Closeout v1.0</w:t>
      </w:r>
    </w:p>
    <w:p>
      <w:pPr>
        <w:pStyle w:val="Heading1"/>
      </w:pPr>
      <w:r>
        <w:t>1. Final status</w:t>
      </w:r>
    </w:p>
    <w:p>
      <w:r>
        <w:t>PB-007: CLOSED. PB-007A diagnostic PASS; PB-007B benchmark-mechanism PASS. Canonical architecture change: NONE.</w:t>
      </w:r>
    </w:p>
    <w:p>
      <w:pPr>
        <w:pStyle w:val="Heading1"/>
      </w:pPr>
      <w:r>
        <w:t>2. Principal result</w:t>
      </w:r>
    </w:p>
    <w:p>
      <w:r>
        <w:t>Safe interruptibility turns on whether an external intervention is treated as a manipulable consequence of policy. When interruption cost was folded into ordinary expected return, the controller developed an avoidance incentive at high interruption probabilities. When the interruption channel was explicitly outside the agent's authorized policy objective, route selection remained stable while realized interruptions still affected execution.</w:t>
      </w:r>
    </w:p>
    <w:p>
      <w:pPr>
        <w:pStyle w:val="Heading1"/>
      </w:pPr>
      <w:r>
        <w:t>3. Why this is useful for PV-PP</w:t>
      </w:r>
    </w:p>
    <w:p>
      <w:r>
        <w:t>The benchmark exposes a boundary that is easy to mishandle in any forward-projection architecture. Projection should represent consequences, but causal or governance typing matters: an externally authorized interruption is not automatically a policy variable that the agent should optimize away. The result therefore supports keeping policy selection, execution, and externally imposed intervention conceptually distinct.</w:t>
      </w:r>
    </w:p>
    <w:p>
      <w:pPr>
        <w:pStyle w:val="Heading1"/>
      </w:pPr>
      <w:r>
        <w:t>4. Limitation and architecture caution</w:t>
      </w:r>
    </w:p>
    <w:p>
      <w:r>
        <w:t>The result should not be overstated as an already-proven universal canonical rule for external interruption semantics. PB-007 is a mechanism-level benchmark showing what happens under two explicit typings. If future canonical work requires a general governance rule for intervention ownership, that would need separate authority review rather than being silently promoted from this benchmark.</w:t>
      </w:r>
    </w:p>
    <w:p>
      <w:pPr>
        <w:pStyle w:val="Heading1"/>
      </w:pPr>
      <w:r>
        <w:t>5. What the result does not establish</w:t>
      </w:r>
    </w:p>
    <w:p>
      <w:pPr>
        <w:pStyle w:val="ListBullet"/>
      </w:pPr>
      <w:r>
        <w:t>General corrigibility or shutdown safety.</w:t>
      </w:r>
    </w:p>
    <w:p>
      <w:pPr>
        <w:pStyle w:val="ListBullet"/>
      </w:pPr>
      <w:r>
        <w:t>That an agent will never manipulate a human supervisor.</w:t>
      </w:r>
    </w:p>
    <w:p>
      <w:pPr>
        <w:pStyle w:val="ListBullet"/>
      </w:pPr>
      <w:r>
        <w:t>That every exogenous event should be excluded from projection or policy ranking.</w:t>
      </w:r>
    </w:p>
    <w:p>
      <w:pPr>
        <w:pStyle w:val="ListBullet"/>
      </w:pPr>
      <w:r>
        <w:t>A matched A2C/Rainbow run on the complete original gridworld.</w:t>
      </w:r>
    </w:p>
    <w:p>
      <w:pPr>
        <w:pStyle w:val="ListBullet"/>
      </w:pPr>
      <w:r>
        <w:t>A new interruptibility operator or scalar.</w:t>
      </w:r>
    </w:p>
    <w:p>
      <w:pPr>
        <w:pStyle w:val="Heading1"/>
      </w:pPr>
      <w:r>
        <w:t>6. Architecture determination</w:t>
      </w:r>
    </w:p>
    <w:p>
      <w:r>
        <w:t>No architecture change is justified. The benchmark is retained as evidence that intervention ownership must be specified correctly at the task/governance boundary; the existing separation of policy, execution, and realized transition is sufficient for this frozen mechanism test.</w:t>
      </w:r>
    </w:p>
    <w:p>
      <w:pPr>
        <w:pStyle w:val="Heading1"/>
      </w:pPr>
      <w:r>
        <w:t>7. Closure rule</w:t>
      </w:r>
    </w:p>
    <w:p>
      <w:r>
        <w:t>PB-007 is closed. The initial failed fixture and its correction are retained in the execution record. Any stronger test involving strategic switch disabling, learned interruption probabilities, or human-governance semantics should be separately numbered and frozen.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