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PB-009H Adversarial Hardening Test</w:t>
      </w:r>
    </w:p>
    <w:p>
      <w:pPr>
        <w:jc w:val="center"/>
      </w:pPr>
      <w:r>
        <w:rPr>
          <w:i/>
        </w:rPr>
        <w:t>Execution Result v1.0</w:t>
      </w:r>
    </w:p>
    <w:p>
      <w:pPr>
        <w:pStyle w:val="Heading1"/>
      </w:pPr>
      <w:r>
        <w:t>1. Regression status</w:t>
      </w:r>
    </w:p>
    <w:p>
      <w:r>
        <w:t>11 passed, 0 failed.</w:t>
      </w:r>
    </w:p>
    <w:p>
      <w:pPr>
        <w:pStyle w:val="Heading1"/>
      </w:pPr>
      <w:r>
        <w:t>2. Deterministic-policy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Deterministic policy</w:t>
            </w:r>
          </w:p>
        </w:tc>
        <w:tc>
          <w:tcPr>
            <w:tcW w:type="dxa" w:w="4968"/>
          </w:tcPr>
          <w:p>
            <w:r>
              <w:t>Success rate</w:t>
            </w:r>
          </w:p>
        </w:tc>
      </w:tr>
      <w:tr>
        <w:tc>
          <w:tcPr>
            <w:tcW w:type="dxa" w:w="4968"/>
          </w:tcPr>
          <w:p>
            <w:r>
              <w:t>fixed_A</w:t>
            </w:r>
          </w:p>
        </w:tc>
        <w:tc>
          <w:tcPr>
            <w:tcW w:type="dxa" w:w="4968"/>
          </w:tcPr>
          <w:p>
            <w:r>
              <w:t>0.0000</w:t>
            </w:r>
          </w:p>
        </w:tc>
      </w:tr>
      <w:tr>
        <w:tc>
          <w:tcPr>
            <w:tcW w:type="dxa" w:w="4968"/>
          </w:tcPr>
          <w:p>
            <w:r>
              <w:t>fixed_B</w:t>
            </w:r>
          </w:p>
        </w:tc>
        <w:tc>
          <w:tcPr>
            <w:tcW w:type="dxa" w:w="4968"/>
          </w:tcPr>
          <w:p>
            <w:r>
              <w:t>0.0000</w:t>
            </w:r>
          </w:p>
        </w:tc>
      </w:tr>
      <w:tr>
        <w:tc>
          <w:tcPr>
            <w:tcW w:type="dxa" w:w="4968"/>
          </w:tcPr>
          <w:p>
            <w:r>
              <w:t>alternate_AB</w:t>
            </w:r>
          </w:p>
        </w:tc>
        <w:tc>
          <w:tcPr>
            <w:tcW w:type="dxa" w:w="4968"/>
          </w:tcPr>
          <w:p>
            <w:r>
              <w:t>0.0000</w:t>
            </w:r>
          </w:p>
        </w:tc>
      </w:tr>
      <w:tr>
        <w:tc>
          <w:tcPr>
            <w:tcW w:type="dxa" w:w="4968"/>
          </w:tcPr>
          <w:p>
            <w:r>
              <w:t>repeat_AAB</w:t>
            </w:r>
          </w:p>
        </w:tc>
        <w:tc>
          <w:tcPr>
            <w:tcW w:type="dxa" w:w="4968"/>
          </w:tcPr>
          <w:p>
            <w:r>
              <w:t>0.0000</w:t>
            </w:r>
          </w:p>
        </w:tc>
      </w:tr>
      <w:tr>
        <w:tc>
          <w:tcPr>
            <w:tcW w:type="dxa" w:w="4968"/>
          </w:tcPr>
          <w:p>
            <w:r>
              <w:t>adaptive_repeat_win_switch_loss</w:t>
            </w:r>
          </w:p>
        </w:tc>
        <w:tc>
          <w:tcPr>
            <w:tcW w:type="dxa" w:w="4968"/>
          </w:tcPr>
          <w:p>
            <w:r>
              <w:t>0.0000</w:t>
            </w:r>
          </w:p>
        </w:tc>
      </w:tr>
    </w:tbl>
    <w:p>
      <w:r>
        <w:t>Every deterministic policy tested achieved 0% success. This is not an accident of the particular patterns chosen: by construction, any policy whose next move is fully determined by information available to the foe can be predicted and defeated on every round.</w:t>
      </w:r>
    </w:p>
    <w:p>
      <w:pPr>
        <w:pStyle w:val="Heading1"/>
      </w:pPr>
      <w:r>
        <w:t>3. Mixed-policy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p(A)</w:t>
            </w:r>
          </w:p>
        </w:tc>
        <w:tc>
          <w:tcPr>
            <w:tcW w:type="dxa" w:w="3312"/>
          </w:tcPr>
          <w:p>
            <w:r>
              <w:t>Simulated success</w:t>
            </w:r>
          </w:p>
        </w:tc>
        <w:tc>
          <w:tcPr>
            <w:tcW w:type="dxa" w:w="3312"/>
          </w:tcPr>
          <w:p>
            <w:r>
              <w:t>Exact success</w:t>
            </w:r>
          </w:p>
        </w:tc>
      </w:tr>
      <w:tr>
        <w:tc>
          <w:tcPr>
            <w:tcW w:type="dxa" w:w="3312"/>
          </w:tcPr>
          <w:p>
            <w:r>
              <w:t>0.00</w:t>
            </w:r>
          </w:p>
        </w:tc>
        <w:tc>
          <w:tcPr>
            <w:tcW w:type="dxa" w:w="3312"/>
          </w:tcPr>
          <w:p>
            <w:r>
              <w:t>0.0000</w:t>
            </w:r>
          </w:p>
        </w:tc>
        <w:tc>
          <w:tcPr>
            <w:tcW w:type="dxa" w:w="3312"/>
          </w:tcPr>
          <w:p>
            <w:r>
              <w:t>0.0000</w:t>
            </w:r>
          </w:p>
        </w:tc>
      </w:tr>
      <w:tr>
        <w:tc>
          <w:tcPr>
            <w:tcW w:type="dxa" w:w="3312"/>
          </w:tcPr>
          <w:p>
            <w:r>
              <w:t>0.10</w:t>
            </w:r>
          </w:p>
        </w:tc>
        <w:tc>
          <w:tcPr>
            <w:tcW w:type="dxa" w:w="3312"/>
          </w:tcPr>
          <w:p>
            <w:r>
              <w:t>0.1024</w:t>
            </w:r>
          </w:p>
        </w:tc>
        <w:tc>
          <w:tcPr>
            <w:tcW w:type="dxa" w:w="3312"/>
          </w:tcPr>
          <w:p>
            <w:r>
              <w:t>0.1000</w:t>
            </w:r>
          </w:p>
        </w:tc>
      </w:tr>
      <w:tr>
        <w:tc>
          <w:tcPr>
            <w:tcW w:type="dxa" w:w="3312"/>
          </w:tcPr>
          <w:p>
            <w:r>
              <w:t>0.25</w:t>
            </w:r>
          </w:p>
        </w:tc>
        <w:tc>
          <w:tcPr>
            <w:tcW w:type="dxa" w:w="3312"/>
          </w:tcPr>
          <w:p>
            <w:r>
              <w:t>0.2519</w:t>
            </w:r>
          </w:p>
        </w:tc>
        <w:tc>
          <w:tcPr>
            <w:tcW w:type="dxa" w:w="3312"/>
          </w:tcPr>
          <w:p>
            <w:r>
              <w:t>0.2500</w:t>
            </w:r>
          </w:p>
        </w:tc>
      </w:tr>
      <w:tr>
        <w:tc>
          <w:tcPr>
            <w:tcW w:type="dxa" w:w="3312"/>
          </w:tcPr>
          <w:p>
            <w:r>
              <w:t>0.40</w:t>
            </w:r>
          </w:p>
        </w:tc>
        <w:tc>
          <w:tcPr>
            <w:tcW w:type="dxa" w:w="3312"/>
          </w:tcPr>
          <w:p>
            <w:r>
              <w:t>0.3992</w:t>
            </w:r>
          </w:p>
        </w:tc>
        <w:tc>
          <w:tcPr>
            <w:tcW w:type="dxa" w:w="3312"/>
          </w:tcPr>
          <w:p>
            <w:r>
              <w:t>0.4000</w:t>
            </w:r>
          </w:p>
        </w:tc>
      </w:tr>
      <w:tr>
        <w:tc>
          <w:tcPr>
            <w:tcW w:type="dxa" w:w="3312"/>
          </w:tcPr>
          <w:p>
            <w:r>
              <w:t>0.50</w:t>
            </w:r>
          </w:p>
        </w:tc>
        <w:tc>
          <w:tcPr>
            <w:tcW w:type="dxa" w:w="3312"/>
          </w:tcPr>
          <w:p>
            <w:r>
              <w:t>0.4943</w:t>
            </w:r>
          </w:p>
        </w:tc>
        <w:tc>
          <w:tcPr>
            <w:tcW w:type="dxa" w:w="3312"/>
          </w:tcPr>
          <w:p>
            <w:r>
              <w:t>0.5000</w:t>
            </w:r>
          </w:p>
        </w:tc>
      </w:tr>
      <w:tr>
        <w:tc>
          <w:tcPr>
            <w:tcW w:type="dxa" w:w="3312"/>
          </w:tcPr>
          <w:p>
            <w:r>
              <w:t>0.60</w:t>
            </w:r>
          </w:p>
        </w:tc>
        <w:tc>
          <w:tcPr>
            <w:tcW w:type="dxa" w:w="3312"/>
          </w:tcPr>
          <w:p>
            <w:r>
              <w:t>0.3966</w:t>
            </w:r>
          </w:p>
        </w:tc>
        <w:tc>
          <w:tcPr>
            <w:tcW w:type="dxa" w:w="3312"/>
          </w:tcPr>
          <w:p>
            <w:r>
              <w:t>0.4000</w:t>
            </w:r>
          </w:p>
        </w:tc>
      </w:tr>
      <w:tr>
        <w:tc>
          <w:tcPr>
            <w:tcW w:type="dxa" w:w="3312"/>
          </w:tcPr>
          <w:p>
            <w:r>
              <w:t>0.75</w:t>
            </w:r>
          </w:p>
        </w:tc>
        <w:tc>
          <w:tcPr>
            <w:tcW w:type="dxa" w:w="3312"/>
          </w:tcPr>
          <w:p>
            <w:r>
              <w:t>0.2519</w:t>
            </w:r>
          </w:p>
        </w:tc>
        <w:tc>
          <w:tcPr>
            <w:tcW w:type="dxa" w:w="3312"/>
          </w:tcPr>
          <w:p>
            <w:r>
              <w:t>0.2500</w:t>
            </w:r>
          </w:p>
        </w:tc>
      </w:tr>
      <w:tr>
        <w:tc>
          <w:tcPr>
            <w:tcW w:type="dxa" w:w="3312"/>
          </w:tcPr>
          <w:p>
            <w:r>
              <w:t>0.90</w:t>
            </w:r>
          </w:p>
        </w:tc>
        <w:tc>
          <w:tcPr>
            <w:tcW w:type="dxa" w:w="3312"/>
          </w:tcPr>
          <w:p>
            <w:r>
              <w:t>0.1050</w:t>
            </w:r>
          </w:p>
        </w:tc>
        <w:tc>
          <w:tcPr>
            <w:tcW w:type="dxa" w:w="3312"/>
          </w:tcPr>
          <w:p>
            <w:r>
              <w:t>0.1000</w:t>
            </w:r>
          </w:p>
        </w:tc>
      </w:tr>
      <w:tr>
        <w:tc>
          <w:tcPr>
            <w:tcW w:type="dxa" w:w="3312"/>
          </w:tcPr>
          <w:p>
            <w:r>
              <w:t>1.00</w:t>
            </w:r>
          </w:p>
        </w:tc>
        <w:tc>
          <w:tcPr>
            <w:tcW w:type="dxa" w:w="3312"/>
          </w:tcPr>
          <w:p>
            <w:r>
              <w:t>0.0000</w:t>
            </w:r>
          </w:p>
        </w:tc>
        <w:tc>
          <w:tcPr>
            <w:tcW w:type="dxa" w:w="3312"/>
          </w:tcPr>
          <w:p>
            <w:r>
              <w:t>0.0000</w:t>
            </w:r>
          </w:p>
        </w:tc>
      </w:tr>
    </w:tbl>
    <w:p>
      <w:r>
        <w:t>The exact success function is min(p, 1-p). The unique maximin point is p(A)=0.5, with a guaranteed success probability of 0.5. The 10,000-round simulation produced 0.4943 at p(A)=0.5, consistent with the theoretical result.</w:t>
      </w:r>
    </w:p>
    <w:p>
      <w:pPr>
        <w:pStyle w:val="Heading1"/>
      </w:pPr>
      <w:r>
        <w:t>4. What the hardening test proves</w:t>
      </w:r>
    </w:p>
    <w:p>
      <w:r>
        <w:t>Against this foe, deterministic cleverness is not enough. Fixed, periodic, and deterministic history-responsive strategies all fail. Deliberate unpredictability is materially necessary. This resolves the question left open by the original Friend-or-Foe execution: the earlier alternating-policy success was an exploit of that benchmark's particular predictor, not a general answer to adversarial prediction.</w:t>
      </w:r>
    </w:p>
    <w:p>
      <w:pPr>
        <w:pStyle w:val="Heading1"/>
      </w:pPr>
      <w:r>
        <w:t>5. Canonical architecture audit</w:t>
      </w:r>
    </w:p>
    <w:p>
      <w:r>
        <w:t>Π is broad enough to define a policy as a rule over a horizon and therefore does not expressly forbid a rule such as “choose A with probability 0.5 and B with probability 0.5.” However, the active Π specification never defines a mixed policy, a probability-bearing policy object, or the semantics by which such a rule is generated and validated.</w:t>
      </w:r>
    </w:p>
    <w:p>
      <w:r>
        <w:t>Σ being deterministic is not itself fatal. In principle Σ could deterministically select one policy object whose internal rule is mixed. But the active Σ specification compares projected policy outcomes and prohibits stochastic choice as the canonical default; it does not define how distribution-valued projected outcomes are represented or compared.</w:t>
      </w:r>
    </w:p>
    <w:p>
      <w:r>
        <w:t>ε could plausibly instantiate a selected mixed policy, because instantiation is its job. But ε is explicitly barred from inventing a new policy class during execution. Therefore randomization cannot simply be inserted at ε unless the selected policy already contains licensed stochastic semantics upstream.</w:t>
      </w:r>
    </w:p>
    <w:p>
      <w:pPr>
        <w:pStyle w:val="Heading1"/>
      </w:pPr>
      <w:r>
        <w:t>6. Result classification</w:t>
      </w:r>
    </w:p>
    <w:p>
      <w:r>
        <w:t>ARCHITECTURAL FORMALIZATION GAP - NOT YET A NEW-OPERATOR FAILURE.</w:t>
      </w:r>
    </w:p>
    <w:p>
      <w:r>
        <w:t>The hardening test demonstrates a capability that is materially required by the problem but is not explicitly formalized in the current canonical policy/projection/realization semantics. At the same time, nothing in the existing architecture proves that a new operator is required. The most economical interpretation is that a mixed strategy may be representable as one policy object selected deterministically by Σ and instantiated by ε, but the current canonical documents do not yet specify enough to claim that capability as established.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