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PB-009H Adversarial Hardening Test</w:t>
      </w:r>
    </w:p>
    <w:p>
      <w:pPr>
        <w:jc w:val="center"/>
      </w:pPr>
      <w:r>
        <w:rPr>
          <w:i/>
        </w:rPr>
        <w:t>Architectural Finding and Closeout v1.0</w:t>
      </w:r>
    </w:p>
    <w:p>
      <w:pPr>
        <w:pStyle w:val="Heading1"/>
      </w:pPr>
      <w:r>
        <w:t>1. Final status</w:t>
      </w:r>
    </w:p>
    <w:p>
      <w:r>
        <w:t>PB-009H execution: COMPLETE. Deterministic repertoire: FAIL. Mixed strategy: REQUIRED and successful. Canonical architecture change: NOT AUTHORIZED from this test alone. Architectural finding: OPEN FORMALIZATION GAP.</w:t>
      </w:r>
    </w:p>
    <w:p>
      <w:pPr>
        <w:pStyle w:val="Heading1"/>
      </w:pPr>
      <w:r>
        <w:t>2. Plain-English conclusion</w:t>
      </w:r>
    </w:p>
    <w:p>
      <w:r>
        <w:t>We finally produced an adversary for which every predictable PV-PP behavior loses. The only robust answer is to make the choice itself intentionally unpredictable. A 50/50 policy succeeds half the time; every fully predictable policy succeeds zero percent of the time.</w:t>
      </w:r>
    </w:p>
    <w:p>
      <w:r>
        <w:t>PV-PP is not obviously incapable of doing this. The framework already lets Π construct policy rules, lets Σ select one policy deterministically, and lets ε realize the selected policy. That gives a natural possible representation: Π constructs “randomize 50/50” as one policy; Σ deterministically selects that policy; ε performs the private draw during realization. But the current canonical files never actually define this structure, and ε is not allowed to invent it on its own.</w:t>
      </w:r>
    </w:p>
    <w:p>
      <w:pPr>
        <w:pStyle w:val="Heading1"/>
      </w:pPr>
      <w:r>
        <w:t>3. Why this is different from the earlier benchmarks</w:t>
      </w:r>
    </w:p>
    <w:p>
      <w:r>
        <w:t>Earlier failures could generally be traced to missing task information, corrupted observations, or a benchmark-specific evaluator criterion. PB-009H is different. The information is sufficient and the adversary is fully specified. The missing issue is representational/formal: the best policy is a probability distribution over actions, not one determinate action sequence.</w:t>
      </w:r>
    </w:p>
    <w:p>
      <w:pPr>
        <w:pStyle w:val="Heading1"/>
      </w:pPr>
      <w:r>
        <w:t>4. What is and is not established</w:t>
      </w:r>
    </w:p>
    <w:p>
      <w:pPr>
        <w:pStyle w:val="ListBullet"/>
      </w:pPr>
      <w:r>
        <w:t>Established: deliberate mixed strategy is materially necessary in this hardening environment.</w:t>
      </w:r>
    </w:p>
    <w:p>
      <w:pPr>
        <w:pStyle w:val="ListBullet"/>
      </w:pPr>
      <w:r>
        <w:t>Established: ordinary deterministic policy rules, including adaptive deterministic rules, are exploitable.</w:t>
      </w:r>
    </w:p>
    <w:p>
      <w:pPr>
        <w:pStyle w:val="ListBullet"/>
      </w:pPr>
      <w:r>
        <w:t>Established: the current canonical documents do not explicitly define mixed-policy construction, stochastic projection semantics, or licensed private random realization.</w:t>
      </w:r>
    </w:p>
    <w:p>
      <w:pPr>
        <w:pStyle w:val="ListBullet"/>
      </w:pPr>
      <w:r>
        <w:t>Not established: a new operator is required.</w:t>
      </w:r>
    </w:p>
    <w:p>
      <w:pPr>
        <w:pStyle w:val="ListBullet"/>
      </w:pPr>
      <w:r>
        <w:t>Not established: Σ itself must become stochastic.</w:t>
      </w:r>
    </w:p>
    <w:p>
      <w:pPr>
        <w:pStyle w:val="ListBullet"/>
      </w:pPr>
      <w:r>
        <w:t>Not established: the existing architecture is fundamentally incapable of mixed policies.</w:t>
      </w:r>
    </w:p>
    <w:p>
      <w:pPr>
        <w:pStyle w:val="Heading1"/>
      </w:pPr>
      <w:r>
        <w:t>5. Recommended next architectural action</w:t>
      </w:r>
    </w:p>
    <w:p>
      <w:r>
        <w:t>Do not patch the framework inside the benchmark. Instead perform a narrow canonical interpretation audit of Π, the shared projection system, Σ, and ε. The question should be whether the phrase “policy as a rule over horizon” already licenses probability-bearing policy rules and, if so, what minimal clarification is needed so projection can carry distribution-valued consequences and ε can realize the selected rule without becoming a second chooser.</w:t>
      </w:r>
    </w:p>
    <w:p>
      <w:r>
        <w:t>If that interpretation can be made by clarification without changing operator responsibilities, PB-009H becomes evidence of an underformalized existing capability rather than an architectural hole. If it cannot, this is the first public-benchmark-derived case that would justify controlled canonical extension.</w:t>
      </w:r>
    </w:p>
    <w:p>
      <w:pPr>
        <w:pStyle w:val="Heading1"/>
      </w:pPr>
      <w:r>
        <w:t>6. Authority note</w:t>
      </w:r>
    </w:p>
    <w:p>
      <w:r>
        <w:t>This closeout records a benchmark finding only. It does not modify canonical PV-PP architecture. The active Π, Σ, projection, and ε owner files remain authoritative until a separate controlled review determines whether clarification or extension is warranted.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