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MO-Gymnasium Benchmark Selection Audit</w:t>
      </w:r>
    </w:p>
    <w:p>
      <w:r>
        <w:t>PV-PP Public Benchmark Program — Candidate Selection and Pre-Test Freeze — v1.0</w:t>
      </w:r>
    </w:p>
    <w:p>
      <w:r>
        <w:t>August 2026</w:t>
      </w:r>
    </w:p>
    <w:p>
      <w:pPr>
        <w:pStyle w:val="Heading1"/>
      </w:pPr>
      <w:r>
        <w:t>1. Purpose</w:t>
      </w:r>
    </w:p>
    <w:p>
      <w:r>
        <w:t>This audit selects a small MO-Gymnasium benchmark set before PV-PP is tested against it. The purpose is to avoid post-result cherry-picking and to maximize theoretical information rather than environment count. MO-Gymnasium is a public multi-objective reinforcement-learning benchmark library whose environments return vector rewards. It also supports linear scalarization through a LinearReward wrapper. That makes it directly relevant to the PV-PP scalar-reduction and multidimensional decision program.</w:t>
      </w:r>
    </w:p>
    <w:p>
      <w:pPr>
        <w:pStyle w:val="Heading1"/>
      </w:pPr>
      <w:r>
        <w:t>2. Selection criteria</w:t>
      </w:r>
    </w:p>
    <w:p>
      <w:pPr>
        <w:pStyle w:val="ListBullet"/>
      </w:pPr>
      <w:r>
        <w:t>Public, documented environment with clear objective dimensions.</w:t>
      </w:r>
    </w:p>
    <w:p>
      <w:pPr>
        <w:pStyle w:val="ListBullet"/>
      </w:pPr>
      <w:r>
        <w:t>Different structural question for PV-PP rather than redundant variations.</w:t>
      </w:r>
    </w:p>
    <w:p>
      <w:pPr>
        <w:pStyle w:val="ListBullet"/>
      </w:pPr>
      <w:r>
        <w:t>Useful pressure on scalar reduction, governing-domain, feasibility/adequacy, or policy-selection semantics.</w:t>
      </w:r>
    </w:p>
    <w:p>
      <w:pPr>
        <w:pStyle w:val="ListBullet"/>
      </w:pPr>
      <w:r>
        <w:t>Mechanics simple enough to reproduce or interrogate transparently.</w:t>
      </w:r>
    </w:p>
    <w:p>
      <w:pPr>
        <w:pStyle w:val="ListBullet"/>
      </w:pPr>
      <w:r>
        <w:t>Include at least one case where scalarization may be entirely adequate; the program must not assume scalar failure.</w:t>
      </w:r>
    </w:p>
    <w:p>
      <w:pPr>
        <w:pStyle w:val="ListBullet"/>
      </w:pPr>
      <w:r>
        <w:t>Prefer environments with interpretable real-world analogues over engineering complexity for its own sake.</w:t>
      </w:r>
    </w:p>
    <w:p>
      <w:pPr>
        <w:pStyle w:val="Heading1"/>
      </w:pPr>
      <w:r>
        <w:t>3. Candidate audit</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Environment</w:t>
            </w:r>
          </w:p>
        </w:tc>
        <w:tc>
          <w:tcPr>
            <w:tcW w:type="dxa" w:w="2033"/>
          </w:tcPr>
          <w:p>
            <w:r>
              <w:t>Reward/objective vector</w:t>
            </w:r>
          </w:p>
        </w:tc>
        <w:tc>
          <w:tcPr>
            <w:tcW w:type="dxa" w:w="2033"/>
          </w:tcPr>
          <w:p>
            <w:r>
              <w:t>PV-PP value</w:t>
            </w:r>
          </w:p>
        </w:tc>
        <w:tc>
          <w:tcPr>
            <w:tcW w:type="dxa" w:w="2033"/>
          </w:tcPr>
          <w:p>
            <w:r>
              <w:t>Test role</w:t>
            </w:r>
          </w:p>
        </w:tc>
        <w:tc>
          <w:tcPr>
            <w:tcW w:type="dxa" w:w="2033"/>
          </w:tcPr>
          <w:p>
            <w:r>
              <w:t>Priority</w:t>
            </w:r>
          </w:p>
        </w:tc>
      </w:tr>
      <w:tr>
        <w:tc>
          <w:tcPr>
            <w:tcW w:type="dxa" w:w="2033"/>
          </w:tcPr>
          <w:p>
            <w:r>
              <w:t>MO-MountainCar</w:t>
            </w:r>
          </w:p>
        </w:tc>
        <w:tc>
          <w:tcPr>
            <w:tcW w:type="dxa" w:w="2033"/>
          </w:tcPr>
          <w:p>
            <w:r>
              <w:t>3: time, reverse action, forward action</w:t>
            </w:r>
          </w:p>
        </w:tc>
        <w:tc>
          <w:tcPr>
            <w:tcW w:type="dxa" w:w="2033"/>
          </w:tcPr>
          <w:p>
            <w:r>
              <w:t>Excellent baseline. The objectives are mechanically related to one underlying task: reach the summit while accounting for time and movement. The environment itself permits alternative reward configurations and provides a clean place to test whether a stable linear mapping can recover the relevant policy ordering.</w:t>
            </w:r>
          </w:p>
        </w:tc>
        <w:tc>
          <w:tcPr>
            <w:tcW w:type="dxa" w:w="2033"/>
          </w:tcPr>
          <w:p>
            <w:r>
              <w:t>Scalar-recoverable / containment test</w:t>
            </w:r>
          </w:p>
        </w:tc>
        <w:tc>
          <w:tcPr>
            <w:tcW w:type="dxa" w:w="2033"/>
          </w:tcPr>
          <w:p>
            <w:r>
              <w:t>HIGH</w:t>
            </w:r>
          </w:p>
        </w:tc>
      </w:tr>
      <w:tr>
        <w:tc>
          <w:tcPr>
            <w:tcW w:type="dxa" w:w="2033"/>
          </w:tcPr>
          <w:p>
            <w:r>
              <w:t>Minecart</w:t>
            </w:r>
          </w:p>
        </w:tc>
        <w:tc>
          <w:tcPr>
            <w:tcW w:type="dxa" w:w="2033"/>
          </w:tcPr>
          <w:p>
            <w:r>
              <w:t>3: ore 1, ore 2, fuel consumed</w:t>
            </w:r>
          </w:p>
        </w:tc>
        <w:tc>
          <w:tcPr>
            <w:tcW w:type="dxa" w:w="2033"/>
          </w:tcPr>
          <w:p>
            <w:r>
              <w:t>Strong Pareto/tradeoff case. The cart must choose where to travel, what to mine, when to return, and how much fuel to spend. Two productive outputs and a resource cost have distinct meanings but can be compared under stated preferences. This should test whether PV-PP preserves the vector structure without falsely claiming scalarization is impossible whenever objectives differ.</w:t>
            </w:r>
          </w:p>
        </w:tc>
        <w:tc>
          <w:tcPr>
            <w:tcW w:type="dxa" w:w="2033"/>
          </w:tcPr>
          <w:p>
            <w:r>
              <w:t>Genuine multidimensional tradeoff</w:t>
            </w:r>
          </w:p>
        </w:tc>
        <w:tc>
          <w:tcPr>
            <w:tcW w:type="dxa" w:w="2033"/>
          </w:tcPr>
          <w:p>
            <w:r>
              <w:t>VERY HIGH</w:t>
            </w:r>
          </w:p>
        </w:tc>
      </w:tr>
      <w:tr>
        <w:tc>
          <w:tcPr>
            <w:tcW w:type="dxa" w:w="2033"/>
          </w:tcPr>
          <w:p>
            <w:r>
              <w:t>Water Reservoir</w:t>
            </w:r>
          </w:p>
        </w:tc>
        <w:tc>
          <w:tcPr>
            <w:tcW w:type="dxa" w:w="2033"/>
          </w:tcPr>
          <w:p>
            <w:r>
              <w:t>2 by default; configurable to 4: upstream flood cost, water-supply deficit, hydroelectric deficit, downstream flood cost</w:t>
            </w:r>
          </w:p>
        </w:tc>
        <w:tc>
          <w:tcPr>
            <w:tcW w:type="dxa" w:w="2033"/>
          </w:tcPr>
          <w:p>
            <w:r>
              <w:t>Strongest structural candidate. A single release decision affects safety thresholds, human water demand, energy production, and downstream conditions. These dimensions can change governing status as reservoir state changes. Threshold-like flood consequences and deficits make this a better test of domain governance and adequacy than a generic locomotion environment.</w:t>
            </w:r>
          </w:p>
        </w:tc>
        <w:tc>
          <w:tcPr>
            <w:tcW w:type="dxa" w:w="2033"/>
          </w:tcPr>
          <w:p>
            <w:r>
              <w:t>Threshold/governing-domain stress test</w:t>
            </w:r>
          </w:p>
        </w:tc>
        <w:tc>
          <w:tcPr>
            <w:tcW w:type="dxa" w:w="2033"/>
          </w:tcPr>
          <w:p>
            <w:r>
              <w:t>VERY HIGH</w:t>
            </w:r>
          </w:p>
        </w:tc>
      </w:tr>
      <w:tr>
        <w:tc>
          <w:tcPr>
            <w:tcW w:type="dxa" w:w="2033"/>
          </w:tcPr>
          <w:p>
            <w:r>
              <w:t>Fruit Tree</w:t>
            </w:r>
          </w:p>
        </w:tc>
        <w:tc>
          <w:tcPr>
            <w:tcW w:type="dxa" w:w="2033"/>
          </w:tcPr>
          <w:p>
            <w:r>
              <w:t>6 nutrients: protein, carbs, fats, vitamins, minerals, water</w:t>
            </w:r>
          </w:p>
        </w:tc>
        <w:tc>
          <w:tcPr>
            <w:tcW w:type="dxa" w:w="2033"/>
          </w:tcPr>
          <w:p>
            <w:r>
              <w:t>Clean six-dimensional terminal-choice environment. Useful for testing high-dimensional vectors and preference/scalarization geometry, but the dimensions are all nutrient quantities received at a leaf and there is little dynamic state after the terminal choice. It is mathematically clean but less structurally rich for PV-PP than Minecart or Water Reservoir.</w:t>
            </w:r>
          </w:p>
        </w:tc>
        <w:tc>
          <w:tcPr>
            <w:tcW w:type="dxa" w:w="2033"/>
          </w:tcPr>
          <w:p>
            <w:r>
              <w:t>High-dimensional static tradeoff</w:t>
            </w:r>
          </w:p>
        </w:tc>
        <w:tc>
          <w:tcPr>
            <w:tcW w:type="dxa" w:w="2033"/>
          </w:tcPr>
          <w:p>
            <w:r>
              <w:t>MEDIUM-HIGH</w:t>
            </w:r>
          </w:p>
        </w:tc>
      </w:tr>
      <w:tr>
        <w:tc>
          <w:tcPr>
            <w:tcW w:type="dxa" w:w="2033"/>
          </w:tcPr>
          <w:p>
            <w:r>
              <w:t>MO-Hopper</w:t>
            </w:r>
          </w:p>
        </w:tc>
        <w:tc>
          <w:tcPr>
            <w:tcW w:type="dxa" w:w="2033"/>
          </w:tcPr>
          <w:p>
            <w:r>
              <w:t>3: forward motion, jump height, control cost</w:t>
            </w:r>
          </w:p>
        </w:tc>
        <w:tc>
          <w:tcPr>
            <w:tcW w:type="dxa" w:w="2033"/>
          </w:tcPr>
          <w:p>
            <w:r>
              <w:t>Legitimate multi-objective continuous-control case. It has an explicit documented linear scalarization that recovers ordinary Hopper for a particular weighting. However, it introduces MuJoCo/control complexity while adding less conceptual leverage than Water Reservoir. Better as a later implementation check than an initial theory test.</w:t>
            </w:r>
          </w:p>
        </w:tc>
        <w:tc>
          <w:tcPr>
            <w:tcW w:type="dxa" w:w="2033"/>
          </w:tcPr>
          <w:p>
            <w:r>
              <w:t>Known scalarization / continuous-control check</w:t>
            </w:r>
          </w:p>
        </w:tc>
        <w:tc>
          <w:tcPr>
            <w:tcW w:type="dxa" w:w="2033"/>
          </w:tcPr>
          <w:p>
            <w:r>
              <w:t>MEDIUM</w:t>
            </w:r>
          </w:p>
        </w:tc>
      </w:tr>
      <w:tr>
        <w:tc>
          <w:tcPr>
            <w:tcW w:type="dxa" w:w="2033"/>
          </w:tcPr>
          <w:p>
            <w:r>
              <w:t>MO-Reacher</w:t>
            </w:r>
          </w:p>
        </w:tc>
        <w:tc>
          <w:tcPr>
            <w:tcW w:type="dxa" w:w="2033"/>
          </w:tcPr>
          <w:p>
            <w:r>
              <w:t>4: distance-based rewards to four target locations</w:t>
            </w:r>
          </w:p>
        </w:tc>
        <w:tc>
          <w:tcPr>
            <w:tcW w:type="dxa" w:w="2033"/>
          </w:tcPr>
          <w:p>
            <w:r>
              <w:t>Interesting because the objectives conflict geometrically, but they are symmetric target-distance measures rather than functionally different domains. Good Pareto geometry; weaker real-world interpretability for the present PV-PP question.</w:t>
            </w:r>
          </w:p>
        </w:tc>
        <w:tc>
          <w:tcPr>
            <w:tcW w:type="dxa" w:w="2033"/>
          </w:tcPr>
          <w:p>
            <w:r>
              <w:t>Geometric multi-target tradeoff</w:t>
            </w:r>
          </w:p>
        </w:tc>
        <w:tc>
          <w:tcPr>
            <w:tcW w:type="dxa" w:w="2033"/>
          </w:tcPr>
          <w:p>
            <w:r>
              <w:t>MEDIUM</w:t>
            </w:r>
          </w:p>
        </w:tc>
      </w:tr>
    </w:tbl>
    <w:p>
      <w:pPr>
        <w:pStyle w:val="Heading1"/>
      </w:pPr>
      <w:r>
        <w:t>4. Recommended frozen set</w:t>
      </w:r>
    </w:p>
    <w:p>
      <w:r>
        <w:t>Freeze three primary environments before examining PV-PP outcomes:</w:t>
      </w:r>
    </w:p>
    <w:p>
      <w:r>
        <w:rPr>
          <w:b/>
        </w:rPr>
        <w:t xml:space="preserve">MO-01 — MO-MountainCar: scalar containment baseline. </w:t>
      </w:r>
      <w:r>
        <w:t>Ask whether a stable linear scalarization is sufficient for the relevant decision ordering. A clean scalar result counts as a success for PV-PP containment, not a failure of multidimensional theory.</w:t>
      </w:r>
    </w:p>
    <w:p>
      <w:r>
        <w:rPr>
          <w:b/>
        </w:rPr>
        <w:t xml:space="preserve">MO-02 — Minecart: Pareto/product-resource tradeoff. </w:t>
      </w:r>
      <w:r>
        <w:t>Ask how PV-PP represents two productive outputs plus fuel consumption, whether different preference structures legitimately select different policies, and whether any claimed non-reduction is actually structural rather than merely a choice of weights.</w:t>
      </w:r>
    </w:p>
    <w:p>
      <w:r>
        <w:rPr>
          <w:b/>
        </w:rPr>
        <w:t xml:space="preserve">MO-03 — Water Reservoir: governing-domain/threshold stress. </w:t>
      </w:r>
      <w:r>
        <w:t>Use the configurable reservoir objectives, preferably all four if implementation is stable. Ask whether flood thresholds, water demand, hydroelectric demand, and downstream flood exposure can be represented by one stable scalar without losing governing changes, feasibility, or adequacy information. This is the environment most likely to expose a real difference between scalar ranking and PV-PP's layered selection architecture.</w:t>
      </w:r>
    </w:p>
    <w:p>
      <w:pPr>
        <w:pStyle w:val="Heading1"/>
      </w:pPr>
      <w:r>
        <w:t>5. Reserve case</w:t>
      </w:r>
    </w:p>
    <w:p>
      <w:r>
        <w:t>Fruit Tree is retained as MO-04 reserve. It should be added only if the first three leave an unresolved question about high-dimensional terminal tradeoffs. It is preferable to running Hopper merely to increase environment count.</w:t>
      </w:r>
    </w:p>
    <w:p>
      <w:pPr>
        <w:pStyle w:val="Heading1"/>
      </w:pPr>
      <w:r>
        <w:t>6. Pre-registered hypotheses</w:t>
      </w:r>
    </w:p>
    <w:p>
      <w:pPr>
        <w:pStyle w:val="ListBullet"/>
      </w:pPr>
      <w:r>
        <w:t>MO-01 hypothesis: a legitimate scalar reduction may exist under fixed task semantics and stable weights. PV-PP should contain that case rather than resist it.</w:t>
      </w:r>
    </w:p>
    <w:p>
      <w:pPr>
        <w:pStyle w:val="ListBullet"/>
      </w:pPr>
      <w:r>
        <w:t>MO-02 hypothesis: multiple Pareto-efficient policies will exist; PV-PP should require explicit preference/domain information to select among them. The existence of a Pareto front alone does not prove scalar non-reducibility.</w:t>
      </w:r>
    </w:p>
    <w:p>
      <w:pPr>
        <w:pStyle w:val="ListBullet"/>
      </w:pPr>
      <w:r>
        <w:t>MO-03 hypothesis: fixed linear scalarization may become inadequate when threshold/deficit conditions change which domain governs or which policies remain adequate. If so, the failure must be demonstrated by policy ordering or feasibility/adequacy consequences, not asserted from the mere presence of four objectives.</w:t>
      </w:r>
    </w:p>
    <w:p>
      <w:pPr>
        <w:pStyle w:val="ListBullet"/>
      </w:pPr>
      <w:r>
        <w:t>Architecture rule: no canonical PV-PP operator, definition, or selection responsibility will be changed during execution to rescue a failed benchmark.</w:t>
      </w:r>
    </w:p>
    <w:p>
      <w:pPr>
        <w:pStyle w:val="ListBullet"/>
      </w:pPr>
      <w:r>
        <w:t>Failure rule: if frozen PV-PP cannot represent a benchmark-relevant distinction that materially affects the correct policy, record the failure before considering any architecture change.</w:t>
      </w:r>
    </w:p>
    <w:p>
      <w:pPr>
        <w:pStyle w:val="Heading1"/>
      </w:pPr>
      <w:r>
        <w:t>7. Execution order and stopping rule</w:t>
      </w:r>
    </w:p>
    <w:p>
      <w:r>
        <w:t>Run MO-01 first because it establishes the containment baseline. Run MO-02 second because it tests ordinary multidimensional tradeoff. Run MO-03 last because it is the strongest candidate for state-dependent governing changes and scalar-reduction failure. Do not add Fruit Tree unless the three-test program leaves a specific unanswered structural question. Do not expand to the entire MO-Gymnasium suite merely to accumulate passes.</w:t>
      </w:r>
    </w:p>
    <w:p>
      <w:pPr>
        <w:pStyle w:val="Heading1"/>
      </w:pPr>
      <w:r>
        <w:t>8. Freeze decision</w:t>
      </w:r>
    </w:p>
    <w:p>
      <w:r>
        <w:t>RECOMMENDATION: FREEZE MO-MountainCar, Minecart, and Water Reservoir as the three-test PV-PP MO-Gymnasium public benchmark program, with Fruit Tree as a pre-declared reserve. The selection is made before PV-PP execution results are examined.</w:t>
      </w:r>
    </w:p>
    <w:p>
      <w:pPr>
        <w:pStyle w:val="Heading1"/>
      </w:pPr>
      <w:r>
        <w:t>Source note</w:t>
      </w:r>
    </w:p>
    <w:p>
      <w:r>
        <w:t>Environment mechanics and reward dimensions in this audit were taken from the current public MO-Gymnasium documentation maintained by the Farama Foundation. Before each execution, the corresponding source implementation should be inspected and the exact version/configuration frozen in the benchmark charter.</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