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MO-01 MountainCar Closeout v1.0</w:t>
      </w:r>
    </w:p>
    <w:p>
      <w:r>
        <w:t>PV-PP MO-Gymnasium Public Benchmark Program | August 2026</w:t>
      </w:r>
    </w:p>
    <w:p>
      <w:pPr>
        <w:pStyle w:val="Heading1"/>
      </w:pPr>
      <w:r>
        <w:t>Disposition</w:t>
      </w:r>
    </w:p>
    <w:p>
      <w:r>
        <w:rPr>
          <w:b/>
        </w:rPr>
        <w:t>CLOSED - PASS AS SCALAR-CONTAINMENT BASELINE.</w:t>
      </w:r>
    </w:p>
    <w:p>
      <w:r>
        <w:t>MO-01 did exactly what the pre-test selection audit was intended to establish: PV-PP does not reject scalarization merely because an environment exposes several reward dimensions.</w:t>
      </w:r>
    </w:p>
    <w:p>
      <w:pPr>
        <w:pStyle w:val="Heading1"/>
      </w:pPr>
      <w:r>
        <w:t>What was demonstrated</w:t>
      </w:r>
    </w:p>
    <w:p>
      <w:r>
        <w:t>With fixed task semantics and moderate stable weights, a linear scalarization of the three MO-MountainCar reward dimensions selected the same goal-reaching momentum policy as the PV-PP formulation over all five frozen starts. The strongest common symmetric movement weight in the tested stable region was alpha=0.5; the mathematically limiting frozen-start threshold was approximately 0.6129.</w:t>
      </w:r>
    </w:p>
    <w:p>
      <w:pPr>
        <w:pStyle w:val="Heading1"/>
      </w:pPr>
      <w:r>
        <w:t>What the high-weight anomaly means</w:t>
      </w:r>
    </w:p>
    <w:p>
      <w:r>
        <w:t>When movement penalties were raised to alpha=1.0, scalar selection preferred doing nothing until timeout. That outcome does not show that scalarization is mathematically invalid. It shows that a scalar objective only represents the intended decision if its mapping preserves the intended task. PV-PP represents goal completion as an adequacy condition and therefore excludes timeout before ordinary ranking.</w:t>
      </w:r>
    </w:p>
    <w:p>
      <w:pPr>
        <w:pStyle w:val="Heading1"/>
      </w:pPr>
      <w:r>
        <w:t>Architecture disposition</w:t>
      </w:r>
    </w:p>
    <w:p>
      <w:pPr>
        <w:pStyle w:val="ListBullet"/>
      </w:pPr>
      <w:r>
        <w:t>Canonical PV-PP change: NONE.</w:t>
      </w:r>
    </w:p>
    <w:p>
      <w:pPr>
        <w:pStyle w:val="ListBullet"/>
      </w:pPr>
      <w:r>
        <w:t>New operator: NONE.</w:t>
      </w:r>
    </w:p>
    <w:p>
      <w:pPr>
        <w:pStyle w:val="ListBullet"/>
      </w:pPr>
      <w:r>
        <w:t>Unresolved architecture gap: NONE.</w:t>
      </w:r>
    </w:p>
    <w:p>
      <w:pPr>
        <w:pStyle w:val="ListBullet"/>
      </w:pPr>
      <w:r>
        <w:t>Scalar reduction: locally/conditionally valid for this frozen benchmark under an explicit weighting region.</w:t>
      </w:r>
    </w:p>
    <w:p>
      <w:pPr>
        <w:pStyle w:val="Heading1"/>
      </w:pPr>
      <w:r>
        <w:t>Next benchmark</w:t>
      </w:r>
    </w:p>
    <w:p>
      <w:r>
        <w:t>Proceed to MO-02 Minecart, where the benchmark moves from a scalar-containment baseline to a genuine productive-output/resource tradeoff involving two ore objectives and fuel consumption.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