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MO-03 Water Reservoir Execution Result v1.0</w:t>
      </w:r>
    </w:p>
    <w:p>
      <w:r>
        <w:t>PV-PP MO-Gymnasium Public Benchmark Program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- joint-adequacy infeasibility and state-dependent fallback boundary demonstrated. </w:t>
      </w:r>
      <w:r>
        <w:t>Automated regression: 11 passed, 0 failed.</w:t>
      </w:r>
    </w:p>
    <w:p>
      <w:pPr>
        <w:pStyle w:val="Heading1"/>
      </w:pPr>
      <w:r>
        <w:t>MO-03A - Exact four-domain infeasibility</w:t>
      </w:r>
    </w:p>
    <w:p>
      <w:r>
        <w:t>The decisive contradiction is independent of inflow, reservoir level, and hydroelectric production. In the source equations, zero water-supply deficit requires release &gt;= 50. Zero downstream flooding cost requires release &lt;= 30. Both conditions cannot be true for the same action.</w:t>
      </w:r>
    </w:p>
    <w:p>
      <w:r>
        <w:t>Therefore the strict four-domain zero-deficit adequate set is empty. This is not a poor optimum; it is structural infeasibility under the frozen framing. Adding the upstream and hydroelectric requirements cannot repair the contradiction.</w:t>
      </w:r>
    </w:p>
    <w:p>
      <w:pPr>
        <w:pStyle w:val="Heading1"/>
      </w:pPr>
      <w:r>
        <w:t>MO-03B - State-dependent safety boundary</w:t>
      </w:r>
    </w:p>
    <w:p>
      <w:r>
        <w:t>For a controlled deterministic slice using the source mean inflow of 40, zero upstream flooding requires next reservoir level &lt;= 50, while zero downstream flooding requires release &lt;= 30. With next level = state + 40 - release, the two safety conditions can coexist only while state &lt;= 40.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</w:tcPr>
          <w:p>
            <w:r>
              <w:t>Initial level</w:t>
            </w:r>
          </w:p>
        </w:tc>
        <w:tc>
          <w:tcPr>
            <w:tcW w:type="dxa" w:w="2056"/>
          </w:tcPr>
          <w:p>
            <w:r>
              <w:t>Safety-adequate actions</w:t>
            </w:r>
          </w:p>
        </w:tc>
        <w:tc>
          <w:tcPr>
            <w:tcW w:type="dxa" w:w="2056"/>
          </w:tcPr>
          <w:p>
            <w:r>
              <w:t>Safety interval</w:t>
            </w:r>
          </w:p>
        </w:tc>
        <w:tc>
          <w:tcPr>
            <w:tcW w:type="dxa" w:w="2056"/>
          </w:tcPr>
          <w:p>
            <w:r>
              <w:t>Equal-weight scalar action</w:t>
            </w:r>
          </w:p>
        </w:tc>
        <w:tc>
          <w:tcPr>
            <w:tcW w:type="dxa" w:w="2056"/>
          </w:tcPr>
          <w:p>
            <w:r>
              <w:t>All-4 adequate?</w:t>
            </w:r>
          </w:p>
        </w:tc>
      </w:tr>
      <w:tr>
        <w:tc>
          <w:tcPr>
            <w:tcW w:type="dxa" w:w="2056"/>
          </w:tcPr>
          <w:p>
            <w:r>
              <w:t>20</w:t>
            </w:r>
          </w:p>
        </w:tc>
        <w:tc>
          <w:tcPr>
            <w:tcW w:type="dxa" w:w="2056"/>
          </w:tcPr>
          <w:p>
            <w:r>
              <w:t>41</w:t>
            </w:r>
          </w:p>
        </w:tc>
        <w:tc>
          <w:tcPr>
            <w:tcW w:type="dxa" w:w="2056"/>
          </w:tcPr>
          <w:p>
            <w:r>
              <w:t>10 to 20</w:t>
            </w:r>
          </w:p>
        </w:tc>
        <w:tc>
          <w:tcPr>
            <w:tcW w:type="dxa" w:w="2056"/>
          </w:tcPr>
          <w:p>
            <w:r>
              <w:t>20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40</w:t>
            </w:r>
          </w:p>
        </w:tc>
        <w:tc>
          <w:tcPr>
            <w:tcW w:type="dxa" w:w="2056"/>
          </w:tcPr>
          <w:p>
            <w:r>
              <w:t>1</w:t>
            </w:r>
          </w:p>
        </w:tc>
        <w:tc>
          <w:tcPr>
            <w:tcW w:type="dxa" w:w="2056"/>
          </w:tcPr>
          <w:p>
            <w:r>
              <w:t>30 to 30</w:t>
            </w:r>
          </w:p>
        </w:tc>
        <w:tc>
          <w:tcPr>
            <w:tcW w:type="dxa" w:w="2056"/>
          </w:tcPr>
          <w:p>
            <w:r>
              <w:t>40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60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None</w:t>
            </w:r>
          </w:p>
        </w:tc>
        <w:tc>
          <w:tcPr>
            <w:tcW w:type="dxa" w:w="2056"/>
          </w:tcPr>
          <w:p>
            <w:r>
              <w:t>50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100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None</w:t>
            </w:r>
          </w:p>
        </w:tc>
        <w:tc>
          <w:tcPr>
            <w:tcW w:type="dxa" w:w="2056"/>
          </w:tcPr>
          <w:p>
            <w:r>
              <w:t>50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  <w:tr>
        <w:tc>
          <w:tcPr>
            <w:tcW w:type="dxa" w:w="2056"/>
          </w:tcPr>
          <w:p>
            <w:r>
              <w:t>140</w:t>
            </w:r>
          </w:p>
        </w:tc>
        <w:tc>
          <w:tcPr>
            <w:tcW w:type="dxa" w:w="2056"/>
          </w:tcPr>
          <w:p>
            <w:r>
              <w:t>0</w:t>
            </w:r>
          </w:p>
        </w:tc>
        <w:tc>
          <w:tcPr>
            <w:tcW w:type="dxa" w:w="2056"/>
          </w:tcPr>
          <w:p>
            <w:r>
              <w:t>None</w:t>
            </w:r>
          </w:p>
        </w:tc>
        <w:tc>
          <w:tcPr>
            <w:tcW w:type="dxa" w:w="2056"/>
          </w:tcPr>
          <w:p>
            <w:r>
              <w:t>50</w:t>
            </w:r>
          </w:p>
        </w:tc>
        <w:tc>
          <w:tcPr>
            <w:tcW w:type="dxa" w:w="2056"/>
          </w:tcPr>
          <w:p>
            <w:r>
              <w:t>No</w:t>
            </w:r>
          </w:p>
        </w:tc>
      </w:tr>
    </w:tbl>
    <w:p>
      <w:r>
        <w:t>At level 20, releases from 10 through 20 satisfy both safety conditions in the mean-inflow slice. At level 40, release 30 is uniquely safety-adequate. At levels 60, 100, and 140, the safety-adequate set is empty. The same framed problem therefore crosses from an ordinary adequate-policy region into an unavoidable tradeoff/fallback region as state changes.</w:t>
      </w:r>
    </w:p>
    <w:p>
      <w:pPr>
        <w:pStyle w:val="Heading1"/>
      </w:pPr>
      <w:r>
        <w:t>MO-03C - Scalar comparator</w:t>
      </w:r>
    </w:p>
    <w:p>
      <w:r>
        <w:t>An equal-weight linear scalar objective nevertheless returns a maximizing action at every tested state: 20, 40, 50, 50, and 50 for initial levels 20, 40, 60, 100, and 140. At level 60, for example, release 50 eliminates the water deficit and upstream flood cost in the mean-inflow slice, but incurs a downstream flooding cost of -20.</w:t>
      </w:r>
    </w:p>
    <w:p>
      <w:r>
        <w:t>The scalar winner is a legitimate compromise under that weighting. What scalar maximization alone does not express is the separate structural statement that the four-domain adequate set is empty, or that the safety-only adequate set disappears above the state boundary. That distinction must be supplied by constraints/adequacy logic or equivalent external structure.</w:t>
      </w:r>
    </w:p>
    <w:p>
      <w:pPr>
        <w:pStyle w:val="Heading1"/>
      </w:pPr>
      <w:r>
        <w:t>PV-PP interpretation</w:t>
      </w:r>
    </w:p>
    <w:p>
      <w:r>
        <w:t>The current canonical adequacy operator is conjunctive across governing domains and prohibits cross-domain compensation. It also preserves the empty-set condition when no jointly sustainable policy exists. MO-03 therefore maps naturally onto the existing architecture: the framework does not need to pretend that the numerically best compromise restores all governing domains.</w:t>
      </w:r>
    </w:p>
    <w:p>
      <w:pPr>
        <w:pStyle w:val="Heading1"/>
      </w:pPr>
      <w:r>
        <w:t>What this establishes</w:t>
      </w:r>
    </w:p>
    <w:p>
      <w:pPr>
        <w:pStyle w:val="ListBullet"/>
      </w:pPr>
      <w:r>
        <w:t>The public Water Reservoir mechanics contain an exact conflict between full water-demand satisfaction and zero downstream flood release.</w:t>
      </w:r>
    </w:p>
    <w:p>
      <w:pPr>
        <w:pStyle w:val="ListBullet"/>
      </w:pPr>
      <w:r>
        <w:t>The presence or absence of a jointly safe action changes with reservoir state under the controlled mean-inflow slice.</w:t>
      </w:r>
    </w:p>
    <w:p>
      <w:pPr>
        <w:pStyle w:val="ListBullet"/>
      </w:pPr>
      <w:r>
        <w:t>A linear scalar objective still produces an argmax even when the explicitly framed conjunctive adequate set is empty.</w:t>
      </w:r>
    </w:p>
    <w:p>
      <w:pPr>
        <w:pStyle w:val="ListBullet"/>
      </w:pPr>
      <w:r>
        <w:t>No new PV-PP operator, state primitive, or architecture change is required.</w:t>
      </w:r>
    </w:p>
    <w:p>
      <w:pPr>
        <w:pStyle w:val="Heading1"/>
      </w:pPr>
      <w:r>
        <w:t>What this does not establish</w:t>
      </w:r>
    </w:p>
    <w:p>
      <w:pPr>
        <w:pStyle w:val="ListBullet"/>
      </w:pPr>
      <w:r>
        <w:t>It does not prove that scalar methods cannot be augmented with constraints, thresholds, lexicographic rules, or fallback flags.</w:t>
      </w:r>
    </w:p>
    <w:p>
      <w:pPr>
        <w:pStyle w:val="ListBullet"/>
      </w:pPr>
      <w:r>
        <w:t>It does not identify a universally correct public policy for reservoir management.</w:t>
      </w:r>
    </w:p>
    <w:p>
      <w:pPr>
        <w:pStyle w:val="ListBullet"/>
      </w:pPr>
      <w:r>
        <w:t>It does not compare learning speed or policy quality against MORL algorithms.</w:t>
      </w:r>
    </w:p>
    <w:p>
      <w:pPr>
        <w:pStyle w:val="ListBullet"/>
      </w:pPr>
      <w:r>
        <w:t>The state-boundary probe uses mean inflow for transparency; the actual environment has stochastic Gaussian inflow, so probabilistic safety requires an explicit risk tolerance.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