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MO-04 Deep Sea Treasure Family Result v1.0</w:t>
      </w:r>
    </w:p>
    <w:p>
      <w:r>
        <w:t>PV-PP MO-Gymnasium Complete-Suite Coverage Program | August 2026</w:t>
      </w:r>
    </w:p>
    <w:p>
      <w:pPr>
        <w:pStyle w:val="Heading1"/>
      </w:pPr>
      <w:r>
        <w:t>Coverage</w:t>
      </w:r>
    </w:p>
    <w:p>
      <w:r>
        <w:t>Executed as one family: standard/convex Deep Sea Treasure, concave Deep Sea Treasure, and mirrored Deep Sea Treasure. The current public source implements all three maps in the same environment class. Reward is two-dimensional: treasure value and -1 time per step. The episode terminates on treasure.</w:t>
      </w:r>
    </w:p>
    <w:p>
      <w:pPr>
        <w:pStyle w:val="Heading1"/>
      </w:pPr>
      <w:r>
        <w:t>Source-defined Pareto fronts</w:t>
      </w:r>
    </w:p>
    <w:p>
      <w:r>
        <w:t>The standard front contains 10 treasure/time points from [0.7,-1] through [23.7,-19]. The concave front contains 10 points from [1,-1] through [124,-19]. The mirrored map explicitly uses the same Pareto front as the concave map but a harder mirrored geometry.</w:t>
      </w:r>
    </w:p>
    <w:p>
      <w:pPr>
        <w:pStyle w:val="Heading1"/>
      </w:pPr>
      <w:r>
        <w:t>Linear scalarization result</w:t>
      </w:r>
    </w:p>
    <w:p>
      <w:r>
        <w:t>Exact nonnegative two-weight feasibility analysis found all 10 standard/convex Pareto points supported by some linear weighting. The concave front was sharply different: only the two endpoints were supported; all eight interior Pareto-efficient points were unsupported by every nonnegative linear weighted sum of treasure and time.</w:t>
      </w:r>
    </w:p>
    <w:p>
      <w:pPr>
        <w:pStyle w:val="Heading1"/>
      </w:pPr>
      <w:r>
        <w:t>Adequacy probe</w:t>
      </w:r>
    </w:p>
    <w:p>
      <w:r>
        <w:t>On the concave front, the requirement treasure &gt;= 20 with completion time &lt;= 13 steps uniquely retains [24,-13]. That point is Pareto-efficient but linearly unsupported. An explicit threshold/adequacy formulation can therefore make a policy decision-relevant that no ordinary weighted sum can select as its global optimum.</w:t>
      </w:r>
    </w:p>
    <w:p>
      <w:pPr>
        <w:pStyle w:val="Heading1"/>
      </w:pPr>
      <w:r>
        <w:t>Mirrored variant</w:t>
      </w:r>
    </w:p>
    <w:p>
      <w:r>
        <w:t>The mirrored environment changes navigation geometry while retaining the concave Pareto front. For the present objective-structure coverage question, it therefore confirms geometry/realization separation rather than introducing a new scalar-reduction case. It is nevertheless explicitly covered rather than omitted.</w:t>
      </w:r>
    </w:p>
    <w:p>
      <w:pPr>
        <w:pStyle w:val="Heading1"/>
      </w:pPr>
      <w:r>
        <w:t>Fixture correction</w:t>
      </w:r>
    </w:p>
    <w:p>
      <w:r>
        <w:t>An initial dense weight-grid probe incorrectly marked one standard-front point as unsupported because its supporting weight interval is narrow. The exact inequality solver showed that all 10 standard points are supported. The regression fixture was corrected; no PV-PP rule or benchmark mechanics were changed.</w:t>
      </w:r>
    </w:p>
    <w:p>
      <w:pPr>
        <w:pStyle w:val="Heading1"/>
      </w:pPr>
      <w:r>
        <w:t>PV-PP disposition</w:t>
      </w:r>
    </w:p>
    <w:p>
      <w:pPr>
        <w:pStyle w:val="ListBullet"/>
      </w:pPr>
      <w:r>
        <w:t>Standard/convex: C — scalar containment over the full published Pareto front.</w:t>
      </w:r>
    </w:p>
    <w:p>
      <w:pPr>
        <w:pStyle w:val="ListBullet"/>
      </w:pPr>
      <w:r>
        <w:t>Concave: P/A — multidimensional Pareto preservation plus threshold-adequacy relevance; eight of ten efficient points are unsupported by linear weighting.</w:t>
      </w:r>
    </w:p>
    <w:p>
      <w:pPr>
        <w:pStyle w:val="ListBullet"/>
      </w:pPr>
      <w:r>
        <w:t>Mirrored: P — same reward/Pareto structure as concave with harder navigation geometry.</w:t>
      </w:r>
    </w:p>
    <w:p>
      <w:pPr>
        <w:pStyle w:val="ListBullet"/>
      </w:pPr>
      <w:r>
        <w:t>Canonical architecture change: NONE.</w:t>
      </w:r>
    </w:p>
    <w:p>
      <w:pPr>
        <w:pStyle w:val="ListBullet"/>
      </w:pPr>
      <w:r>
        <w:t>Formalization gap: NONE.</w:t>
      </w:r>
    </w:p>
    <w:p>
      <w:pPr>
        <w:pStyle w:val="ListBullet"/>
      </w:pPr>
      <w:r>
        <w:t>Architecture failure: NONE.</w:t>
      </w:r>
    </w:p>
    <w:p>
      <w:pPr>
        <w:pStyle w:val="ListBullet"/>
      </w:pPr>
      <w:r>
        <w:t>Final regression: 10 passed, 0 failed.</w:t>
      </w:r>
    </w:p>
    <w:p>
      <w:pPr>
        <w:pStyle w:val="Heading1"/>
      </w:pPr>
      <w:r>
        <w:t>Claim boundary</w:t>
      </w:r>
    </w:p>
    <w:p>
      <w:r>
        <w:t>This is a source-derived objective/Pareto and adequacy analysis, not a trained MORL-agent performance comparison. It establishes coverage of the three documented Deep Sea Treasure maps and their reward geometry.</w:t>
      </w:r>
    </w:p>
    <w:p>
      <w:pPr>
        <w:pStyle w:val="Heading1"/>
      </w:pPr>
      <w:r>
        <w:t>Public source</w:t>
      </w:r>
    </w:p>
    <w:p>
      <w:r>
        <w:t>Current MO-Gymnasium source: Farama-Foundation/MO-Gymnasium, mo_gymnasium/envs/deep_sea_treasure/deep_sea_treasure.py.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