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MO-05 Resource Gathering Closeout v1.0</w:t>
      </w:r>
    </w:p>
    <w:p>
      <w:r>
        <w:t>PV-PP MO-Gymnasium Complete-Suite Coverage Program | August 2026</w:t>
      </w:r>
    </w:p>
    <w:p>
      <w:pPr>
        <w:pStyle w:val="Heading1"/>
      </w:pPr>
      <w:r>
        <w:t>Disposition</w:t>
      </w:r>
    </w:p>
    <w:p>
      <w:r>
        <w:rPr>
          <w:b/>
        </w:rPr>
        <w:t>CLOSED — RESOURCE GATHERING COVERED / PASS.</w:t>
      </w:r>
    </w:p>
    <w:p>
      <w:r>
        <w:t>Resource Gathering does not challenge PV-PP with a new scalar-reduction failure. Instead it tests whether stochastic terminal hazard, productive resource acquisition, and task adequacy remain structurally distinct.</w:t>
      </w:r>
    </w:p>
    <w:p>
      <w:pPr>
        <w:pStyle w:val="Heading1"/>
      </w:pPr>
      <w:r>
        <w:t>Core finding</w:t>
      </w:r>
    </w:p>
    <w:p>
      <w:r>
        <w:t>Under ordinary positive preference for both resources, the both-resources return is scalar-compatible. Under the explicit task requirement of safe return with both resources, adequacy uniquely retains [0,1,1] and rejects death, empty return, and partial collection.</w:t>
      </w:r>
    </w:p>
    <w:p>
      <w:pPr>
        <w:pStyle w:val="Heading1"/>
      </w:pPr>
      <w:r>
        <w:t>Coverage ledger</w:t>
      </w:r>
    </w:p>
    <w:p>
      <w:pPr>
        <w:pStyle w:val="ListBullet"/>
      </w:pPr>
      <w:r>
        <w:t>Environment family: Resource Gathering — complete.</w:t>
      </w:r>
    </w:p>
    <w:p>
      <w:pPr>
        <w:pStyle w:val="ListBullet"/>
      </w:pPr>
      <w:r>
        <w:t>Result: PASS.</w:t>
      </w:r>
    </w:p>
    <w:p>
      <w:pPr>
        <w:pStyle w:val="ListBullet"/>
      </w:pPr>
      <w:r>
        <w:t>Classification: A with C containment control.</w:t>
      </w:r>
    </w:p>
    <w:p>
      <w:pPr>
        <w:pStyle w:val="ListBullet"/>
      </w:pPr>
      <w:r>
        <w:t>Architecture changes: 0.</w:t>
      </w:r>
    </w:p>
    <w:p>
      <w:pPr>
        <w:pStyle w:val="ListBullet"/>
      </w:pPr>
      <w:r>
        <w:t>Final tests: 10/10 passed.</w:t>
      </w:r>
    </w:p>
    <w:p>
      <w:pPr>
        <w:pStyle w:val="Heading1"/>
      </w:pPr>
      <w:r>
        <w:t>Next target</w:t>
      </w:r>
    </w:p>
    <w:p>
      <w:r>
        <w:t>Proceed to Fishwood under the frozen complete-suite sequence.</w:t>
      </w:r>
    </w:p>
    <w:sectPr w:rsidR="00FC693F" w:rsidRPr="0006063C" w:rsidSect="00034616">
      <w:pgSz w:w="12240" w:h="15840"/>
      <w:pgMar w:top="835" w:right="979" w:bottom="835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