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MO-06 Fishwood Execution Result v1.0</w:t>
      </w:r>
    </w:p>
    <w:p>
      <w:r>
        <w:t>PV-PP MO-Gymnasium Complete-Suite Coverage Program | August 2026</w:t>
      </w:r>
    </w:p>
    <w:p>
      <w:pPr>
        <w:pStyle w:val="Heading1"/>
      </w:pPr>
      <w:r>
        <w:t>Execution result</w:t>
      </w:r>
    </w:p>
    <w:p>
      <w:r>
        <w:rPr>
          <w:b/>
        </w:rPr>
        <w:t xml:space="preserve">PASS - linear indifference boundary, explicit joint adequacy, and nonlinear-scalar containment demonstrated. </w:t>
      </w:r>
      <w:r>
        <w:t>Automated regression: 12 passed, 0 failed.</w:t>
      </w:r>
    </w:p>
    <w:p>
      <w:pPr>
        <w:pStyle w:val="Heading1"/>
      </w:pPr>
      <w:r>
        <w:t>Expected resource geometry</w:t>
      </w:r>
    </w:p>
    <w:p>
      <w:r>
        <w:t>With default probabilities fish = 0.1 and wood = 0.9, assigning f of the 200 harvest states to fishing gives expected return [0.1f, 0.9(200-f)] in executable-source order [fish, wood]. The two endpoints are [0,180] and [20,0]. A 100/100 state allocation yields [10,90].</w:t>
      </w:r>
    </w:p>
    <w:p>
      <w:pPr>
        <w:pStyle w:val="Heading1"/>
      </w:pPr>
      <w:r>
        <w:t>Linear scalarization</w:t>
      </w:r>
    </w:p>
    <w:p>
      <w:pPr>
        <w:pStyle w:val="ListBullet"/>
      </w:pPr>
      <w:r>
        <w:t>Equal weights (1,1) select all wood because one wood-state step has nine times the expected yield of one fish-state step.</w:t>
      </w:r>
    </w:p>
    <w:p>
      <w:pPr>
        <w:pStyle w:val="ListBullet"/>
      </w:pPr>
      <w:r>
        <w:t>Weights (10,1) select all fish states.</w:t>
      </w:r>
    </w:p>
    <w:p>
      <w:pPr>
        <w:pStyle w:val="ListBullet"/>
      </w:pPr>
      <w:r>
        <w:t>At the exact break-even ratio (9,1), every one of the 201 possible state allocations has the same expected linear scalar value.</w:t>
      </w:r>
    </w:p>
    <w:p>
      <w:pPr>
        <w:pStyle w:val="ListBullet"/>
      </w:pPr>
      <w:r>
        <w:t>Therefore the balanced 100/100 allocation is linearly supported, but no linear weighting uniquely selects it: below the break-even ratio one endpoint wins, above it the other endpoint wins, and at the ratio all allocations tie.</w:t>
      </w:r>
    </w:p>
    <w:p>
      <w:pPr>
        <w:pStyle w:val="Heading1"/>
      </w:pPr>
      <w:r>
        <w:t>Joint adequacy</w:t>
      </w:r>
    </w:p>
    <w:p>
      <w:r>
        <w:t>The frozen adequacy requirement expected fish &gt;= 10 and expected wood &gt;= 90 yields exactly one state allocation: 100 fishing states and 100 wood states, with expected return [10,90]. The two requirements jointly impose a balance that the generic linear score does not uniquely determine.</w:t>
      </w:r>
    </w:p>
    <w:p>
      <w:pPr>
        <w:pStyle w:val="Heading1"/>
      </w:pPr>
      <w:r>
        <w:t>Nonlinear scalar control</w:t>
      </w:r>
    </w:p>
    <w:p>
      <w:r>
        <w:t>The task-specific scalar U = min(fish/10, wood/90) also uniquely selects the 100/100 allocation. This is an important control: Fishwood is not evidence that 'one number can never work.' A scalar can work if its nonlinear form already contains the task's joint requirement. What fails to identify the balanced allocation is the ordinary fixed linear weighted sum over raw resource totals.</w:t>
      </w:r>
    </w:p>
    <w:p>
      <w:pPr>
        <w:pStyle w:val="Heading1"/>
      </w:pPr>
      <w:r>
        <w:t>Monte Carlo mechanism check</w:t>
      </w:r>
    </w:p>
    <w:p>
      <w:pPr>
        <w:pStyle w:val="ListBullet"/>
      </w:pPr>
      <w:r>
        <w:t>Always wood: mean over 2,000 seeded episodes = fish 0.000, wood 180.076.</w:t>
      </w:r>
    </w:p>
    <w:p>
      <w:pPr>
        <w:pStyle w:val="ListBullet"/>
      </w:pPr>
      <w:r>
        <w:t>Move/stay fish: mean over 2,000 seeded episodes = fish 19.893, wood 0.903.</w:t>
      </w:r>
    </w:p>
    <w:p>
      <w:pPr>
        <w:pStyle w:val="ListBullet"/>
      </w:pPr>
      <w:r>
        <w:t>Alternating: mean over 2,000 seeded episodes = fish 10.042, wood 90.034.</w:t>
      </w:r>
    </w:p>
    <w:p>
      <w:r>
        <w:t>These empirical means track the source-derived expectations: approximately [0,180], [19.9,0.9] for the action-driven all-fish policy because the first harvest occurs in the starting wood state, and [10,90] for alternation.</w:t>
      </w:r>
    </w:p>
    <w:p>
      <w:pPr>
        <w:pStyle w:val="Heading1"/>
      </w:pPr>
      <w:r>
        <w:t>PV-PP interpretation</w:t>
      </w:r>
    </w:p>
    <w:p>
      <w:r>
        <w:t>Fishwood is a clean example of why PV-PP should not be described as anti-scalar. If the task is merely a fixed linear preference over expected fish and wood, scalarization is adequate. If the task requires both resources in minimum amounts, explicit adequacy preserves that conjunction. A purpose-built nonlinear scalar can encode the same conjunction, but then the substantive task structure has been placed inside the scalar rather than discovered by the weighted sum.</w:t>
      </w:r>
    </w:p>
    <w:p>
      <w:pPr>
        <w:pStyle w:val="Heading1"/>
      </w:pPr>
      <w:r>
        <w:t>Source-fidelity note</w:t>
      </w:r>
    </w:p>
    <w:p>
      <w:r>
        <w:t>The detailed Fishwood documentation reverses the resource labels in its reward bullets, while the grid-world summary and executable code use [fish, wood]. MO-06 follows the executable code and summary-table ordering and records the documentation inconsistency explicitly.</w:t>
      </w:r>
    </w:p>
    <w:p>
      <w:pPr>
        <w:pStyle w:val="Heading1"/>
      </w:pPr>
      <w:r>
        <w:t>Disposition</w:t>
      </w:r>
    </w:p>
    <w:p>
      <w:pPr>
        <w:pStyle w:val="ListBullet"/>
      </w:pPr>
      <w:r>
        <w:t>Primary class: A - joint adequacy / complementarity.</w:t>
      </w:r>
    </w:p>
    <w:p>
      <w:pPr>
        <w:pStyle w:val="ListBullet"/>
      </w:pPr>
      <w:r>
        <w:t>Secondary class: C - scalar containment when the scalar function correctly expresses the task.</w:t>
      </w:r>
    </w:p>
    <w:p>
      <w:pPr>
        <w:pStyle w:val="ListBullet"/>
      </w:pPr>
      <w:r>
        <w:t>Linear non-recovery claim: NO. The balanced point is weakly linearly supported at an exact tie, although not uniquely selected.</w:t>
      </w:r>
    </w:p>
    <w:p>
      <w:pPr>
        <w:pStyle w:val="ListBullet"/>
      </w:pPr>
      <w:r>
        <w:t>Canonical architecture change: NONE.</w:t>
      </w:r>
    </w:p>
    <w:p>
      <w:pPr>
        <w:pStyle w:val="ListBullet"/>
      </w:pPr>
      <w:r>
        <w:t>Formalization gap: NONE.</w:t>
      </w:r>
    </w:p>
    <w:p>
      <w:pPr>
        <w:pStyle w:val="ListBullet"/>
      </w:pPr>
      <w:r>
        <w:t>Architecture failure: NONE.</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