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MO-07 Breakable Bottles Closeout v1.0</w:t>
      </w:r>
    </w:p>
    <w:p>
      <w:r>
        <w:t>PV-PP MO-Gymnasium Complete-Suite Coverage Program | August 2026</w:t>
      </w:r>
    </w:p>
    <w:p>
      <w:pPr>
        <w:pStyle w:val="Heading1"/>
      </w:pPr>
      <w:r>
        <w:t>Disposition</w:t>
      </w:r>
    </w:p>
    <w:p>
      <w:r>
        <w:rPr>
          <w:b/>
        </w:rPr>
        <w:t>CLOSED — BREAKABLE BOTTLES COVERED / PASS.</w:t>
      </w:r>
    </w:p>
    <w:p>
      <w:r>
        <w:t>The environment adds a side-effect and reversibility case to the complete-suite record. A faster batch policy trades expected completion time against a stochastic irreversible bottle-loss branch; a cautious policy removes that branch.</w:t>
      </w:r>
    </w:p>
    <w:p>
      <w:pPr>
        <w:pStyle w:val="Heading1"/>
      </w:pPr>
      <w:r>
        <w:t>Core result</w:t>
      </w:r>
    </w:p>
    <w:p>
      <w:r>
        <w:t>The batch policy has a 27.1% probability of at least one drop across the three relevant intermediate checks. Its expected completion time is 12.439 steps versus 18 for one-at-a-time delivery, but its expected cumulative potential is -0.271. Fixed linear weights can rank this tradeoff, so this is not a scalar non-recovery result. An explicit no-irreversible-loss requirement instead makes the distinction one of adequacy.</w:t>
      </w:r>
    </w:p>
    <w:p>
      <w:pPr>
        <w:pStyle w:val="Heading1"/>
      </w:pPr>
      <w:r>
        <w:t>Coverage ledger</w:t>
      </w:r>
    </w:p>
    <w:p>
      <w:pPr>
        <w:pStyle w:val="ListBullet"/>
      </w:pPr>
      <w:r>
        <w:t>Environment: breakable-bottles-v0 — complete.</w:t>
      </w:r>
    </w:p>
    <w:p>
      <w:pPr>
        <w:pStyle w:val="ListBullet"/>
      </w:pPr>
      <w:r>
        <w:t>Source-supported reversibility parameter — mechanism control completed.</w:t>
      </w:r>
    </w:p>
    <w:p>
      <w:pPr>
        <w:pStyle w:val="ListBullet"/>
      </w:pPr>
      <w:r>
        <w:t>Result: PASS.</w:t>
      </w:r>
    </w:p>
    <w:p>
      <w:pPr>
        <w:pStyle w:val="ListBullet"/>
      </w:pPr>
      <w:r>
        <w:t>Classification: A with C scalar-containment control.</w:t>
      </w:r>
    </w:p>
    <w:p>
      <w:pPr>
        <w:pStyle w:val="ListBullet"/>
      </w:pPr>
      <w:r>
        <w:t>Architecture changes: 0.</w:t>
      </w:r>
    </w:p>
    <w:p>
      <w:pPr>
        <w:pStyle w:val="ListBullet"/>
      </w:pPr>
      <w:r>
        <w:t>Final tests: 12/12 passed.</w:t>
      </w:r>
    </w:p>
    <w:p>
      <w:pPr>
        <w:pStyle w:val="ListBullet"/>
      </w:pPr>
      <w:r>
        <w:t>Executable/documentation start-state discrepancy logged.</w:t>
      </w:r>
    </w:p>
    <w:p>
      <w:pPr>
        <w:pStyle w:val="Heading1"/>
      </w:pPr>
      <w:r>
        <w:t>Next target</w:t>
      </w:r>
    </w:p>
    <w:p>
      <w:r>
        <w:t>Proceed to Fruit Tree under the frozen complete-suite sequence.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