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MO-08 Fruit Tree Closeout v1.0</w:t>
      </w:r>
    </w:p>
    <w:p>
      <w:r>
        <w:t>PV-PP MO-Gymnasium Complete-Suite Coverage Program | August 2026</w:t>
      </w:r>
    </w:p>
    <w:p>
      <w:pPr>
        <w:pStyle w:val="Heading1"/>
      </w:pPr>
      <w:r>
        <w:t>Disposition</w:t>
      </w:r>
    </w:p>
    <w:p>
      <w:r>
        <w:rPr>
          <w:b/>
        </w:rPr>
        <w:t>CLOSED — FRUIT TREE COVERED / PASS.</w:t>
      </w:r>
    </w:p>
    <w:p>
      <w:r>
        <w:t>Fruit Tree contributes the benchmark program's first six-objective static choice case. It is a containment result, not a scalar-failure result.</w:t>
      </w:r>
    </w:p>
    <w:p>
      <w:pPr>
        <w:pStyle w:val="Heading1"/>
      </w:pPr>
      <w:r>
        <w:t>Core finding</w:t>
      </w:r>
    </w:p>
    <w:p>
      <w:r>
        <w:t>In the complete public depth-5 leaf set, all 32 fruits are Pareto-efficient and all 32 can each be uniquely selected by some nonnegative linear weight vector. A six-nutrient threshold requiring every component &gt;=3 also has a unique adequate fruit, which is the same fruit chosen by equal weighting and maximin.</w:t>
      </w:r>
    </w:p>
    <w:p>
      <w:pPr>
        <w:pStyle w:val="Heading1"/>
      </w:pPr>
      <w:r>
        <w:t>Coverage rule applied</w:t>
      </w:r>
    </w:p>
    <w:p>
      <w:r>
        <w:t>Depths 5, 6, and 7 are supported parameters of fruit-tree-v0 rather than separate registered environments. Their transition and objective semantics are identical; only tree size, path length, and leaf table differ. Depth 5 received exhaustive objective-geometry analysis, while 6 and 7 received source-structural equivalence and endpoint-path checks. They are therefore explicitly covered without inflating the scenario count.</w:t>
      </w:r>
    </w:p>
    <w:p>
      <w:pPr>
        <w:pStyle w:val="Heading1"/>
      </w:pPr>
      <w:r>
        <w:t>Coverage ledger</w:t>
      </w:r>
    </w:p>
    <w:p>
      <w:pPr>
        <w:pStyle w:val="ListBullet"/>
      </w:pPr>
      <w:r>
        <w:t>fruit-tree-v0 — complete.</w:t>
      </w:r>
    </w:p>
    <w:p>
      <w:pPr>
        <w:pStyle w:val="ListBullet"/>
      </w:pPr>
      <w:r>
        <w:t>Depth parameters 5/6/7 — covered.</w:t>
      </w:r>
    </w:p>
    <w:p>
      <w:pPr>
        <w:pStyle w:val="ListBullet"/>
      </w:pPr>
      <w:r>
        <w:t>Result: PASS.</w:t>
      </w:r>
    </w:p>
    <w:p>
      <w:pPr>
        <w:pStyle w:val="ListBullet"/>
      </w:pPr>
      <w:r>
        <w:t>Classification: C with A adequacy control.</w:t>
      </w:r>
    </w:p>
    <w:p>
      <w:pPr>
        <w:pStyle w:val="ListBullet"/>
      </w:pPr>
      <w:r>
        <w:t>Architecture changes: 0.</w:t>
      </w:r>
    </w:p>
    <w:p>
      <w:pPr>
        <w:pStyle w:val="ListBullet"/>
      </w:pPr>
      <w:r>
        <w:t>Final tests: 12/12 passed.</w:t>
      </w:r>
    </w:p>
    <w:p>
      <w:pPr>
        <w:pStyle w:val="Heading1"/>
      </w:pPr>
      <w:r>
        <w:t>Next target</w:t>
      </w:r>
    </w:p>
    <w:p>
      <w:r>
        <w:t>Proceed to Four Room, the final remaining grid-world family in the frozen sequence.</w:t>
      </w:r>
    </w:p>
    <w:sectPr w:rsidR="00FC693F" w:rsidRPr="0006063C" w:rsidSect="00034616">
      <w:pgSz w:w="12240" w:h="15840"/>
      <w:pgMar w:top="749" w:right="950" w:bottom="749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