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MO-08 Fruit Tree Result v1.0</w:t>
      </w:r>
    </w:p>
    <w:p>
      <w:r>
        <w:t>PV-PP MO-Gymnasium Complete-Suite Coverage Program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— six-objective scalar containment and conjunctive adequacy both demonstrated. </w:t>
      </w:r>
      <w:r>
        <w:t>Regression: 12 passed, 0 failed.</w:t>
      </w:r>
    </w:p>
    <w:p>
      <w:pPr>
        <w:pStyle w:val="Heading1"/>
      </w:pPr>
      <w:r>
        <w:t>Depth-5 exhaustive result</w:t>
      </w:r>
    </w:p>
    <w:p>
      <w:r>
        <w:t>All 32 public depth-5 fruit vectors are Pareto-efficient relative to one another. More importantly, an exact linear-program support test found that all 32/32 are not merely weakly supported: each can be made a unique optimum by some nonnegative six-component weight vector summing to one.</w:t>
      </w:r>
    </w:p>
    <w:p>
      <w:r>
        <w:t>The smallest exact unique-support margin across the 32 fruits was 0.369, so the result is not a numerical tie artifact.</w:t>
      </w:r>
    </w:p>
    <w:p>
      <w:pPr>
        <w:pStyle w:val="Heading1"/>
      </w:pPr>
      <w:r>
        <w:t>Balanced controls</w:t>
      </w:r>
    </w:p>
    <w:p>
      <w:r>
        <w:t>Equal weights select leaf 15 (zero-based), vector [4.458, 3.520, 3.303, 3.471, 4.130, 5.265], total nutrient score 24.147. The maximin criterion selects the same leaf; its weakest nutrient is 3.303.</w:t>
      </w:r>
    </w:p>
    <w:p>
      <w:pPr>
        <w:pStyle w:val="Heading1"/>
      </w:pPr>
      <w:r>
        <w:t>Six-domain adequacy probe</w:t>
      </w:r>
    </w:p>
    <w:p>
      <w:r>
        <w:t>Requiring every nutrient to be at least 3 leaves exactly one depth-5 fruit: the same leaf selected by equal weights and maximin. Thus explicit conjunctive adequacy and a simple scalar happen to agree in this frozen case.</w:t>
      </w:r>
    </w:p>
    <w:p>
      <w:pPr>
        <w:pStyle w:val="Heading1"/>
      </w:pPr>
      <w:r>
        <w:t>Depth 6 and 7 coverage</w:t>
      </w:r>
    </w:p>
    <w:p>
      <w:r>
        <w:t>The source class uses the same binary transition rule, same six reward dimensions, and same terminal-leaf mechanism for depths 5, 6, and 7. Depth only selects a larger fixed fruit table and a longer path. Endpoint-path checks were recorded for all three depths. Because 5/6/7 are parameters of the same registered environment and do not change decision semantics, depths 6 and 7 are equivalence-covered rather than treated as separate benchmark scenarios.</w:t>
      </w:r>
    </w:p>
    <w:p>
      <w:pPr>
        <w:pStyle w:val="Heading1"/>
      </w:pPr>
      <w:r>
        <w:t>PV-PP interpretation</w:t>
      </w:r>
    </w:p>
    <w:p>
      <w:r>
        <w:t>Fruit Tree is a strong containment case. Six simultaneous objectives do not by themselves defeat scalar reduction. In the exact depth-5 public leaf set, every Pareto-efficient fruit is recoverable as a unique optimum under some nonnegative linear weighting. PV-PP therefore gains no support from claiming that dimensionality alone makes scalarization inadequate.</w:t>
      </w:r>
    </w:p>
    <w:p>
      <w:r>
        <w:t>The narrower PV-PP point remains: Domain Framing and Adequacy determine whether reducing six nutrient dimensions to a weighted score is legitimate for the task at hand. Here both the linear and conjunctive views can be represented without changing the architecture.</w:t>
      </w:r>
    </w:p>
    <w:p>
      <w:pPr>
        <w:pStyle w:val="Heading1"/>
      </w:pPr>
      <w:r>
        <w:t>Disposition</w:t>
      </w:r>
    </w:p>
    <w:p>
      <w:pPr/>
      <w:r>
        <w:t>Primary class: C - scalar containment, unusually strong (32/32 depth-5 leaves uniquely linearly supportable). Secondary class: A - six-domain conjunctive adequacy. Depth 5/6/7 family covered, with depths 6/7 by structural equivalence plus path checks. Canonical architecture change: NONE. Formalization gap: NONE. Architecture failure: NONE.</w:t>
      </w:r>
    </w:p>
    <w:p>
      <w:pPr/>
      <w:r/>
    </w:p>
    <w:p>
      <w:pPr/>
      <w:r/>
    </w:p>
    <w:p>
      <w:pPr/>
      <w:r/>
    </w:p>
    <w:p>
      <w:pPr/>
      <w:r/>
    </w:p>
    <w:p>
      <w:pPr/>
      <w:r/>
    </w:p>
    <w:sectPr w:rsidR="00FC693F" w:rsidRPr="0006063C" w:rsidSect="00034616">
      <w:pgSz w:w="12240" w:h="15840"/>
      <w:pgMar w:top="648" w:right="950" w:bottom="648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