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MO-09 Four Room Closeout v1.0</w:t>
      </w:r>
    </w:p>
    <w:p>
      <w:r>
        <w:t>PV-PP MO-Gymnasium Complete-Suite Coverage Program | August 2026</w:t>
      </w:r>
    </w:p>
    <w:p>
      <w:pPr>
        <w:pStyle w:val="Heading1"/>
      </w:pPr>
      <w:r>
        <w:t>Disposition</w:t>
      </w:r>
    </w:p>
    <w:p>
      <w:r>
        <w:rPr>
          <w:b/>
        </w:rPr>
        <w:t>CLOSED - FOUR ROOM COVERED / PASS.</w:t>
      </w:r>
    </w:p>
    <w:p>
      <w:r>
        <w:t>Four Room closes the grid-world phase. Its raw undiscounted reward geometry is scalar-friendly: collecting all twelve items and reaching the goal yields [5,5,5], which dominates every other terminal cumulative reward vector.</w:t>
      </w:r>
    </w:p>
    <w:p>
      <w:pPr>
        <w:pStyle w:val="Heading1"/>
      </w:pPr>
      <w:r>
        <w:t>Key benchmark lesson</w:t>
      </w:r>
    </w:p>
    <w:p>
      <w:r>
        <w:t>The substantive distinction is between reward and state evidence. A direct goal path takes 24 steps and receives [1,1,1] despite collecting no shapes; a path that actually collects at least one item of each type requires at least 28 steps. The persistent collection flags therefore carry information that the terminal reward vector alone does not.</w:t>
      </w:r>
    </w:p>
    <w:p>
      <w:pPr>
        <w:pStyle w:val="Heading1"/>
      </w:pPr>
      <w:r>
        <w:t>Coverage ledger</w:t>
      </w:r>
    </w:p>
    <w:p>
      <w:pPr>
        <w:pStyle w:val="ListBullet"/>
      </w:pPr>
      <w:r>
        <w:t>four-room-v0 - complete.</w:t>
      </w:r>
    </w:p>
    <w:p>
      <w:pPr>
        <w:pStyle w:val="ListBullet"/>
      </w:pPr>
      <w:r>
        <w:t>All 12 source item locations and all three item types represented.</w:t>
      </w:r>
    </w:p>
    <w:p>
      <w:pPr>
        <w:pStyle w:val="ListBullet"/>
      </w:pPr>
      <w:r>
        <w:t>125 distinct undiscounted terminal cumulative reward vectors enumerated.</w:t>
      </w:r>
    </w:p>
    <w:p>
      <w:pPr>
        <w:pStyle w:val="ListBullet"/>
      </w:pPr>
      <w:r>
        <w:t>Result: PASS.</w:t>
      </w:r>
    </w:p>
    <w:p>
      <w:pPr>
        <w:pStyle w:val="ListBullet"/>
      </w:pPr>
      <w:r>
        <w:t>Classification: A with C containment control.</w:t>
      </w:r>
    </w:p>
    <w:p>
      <w:pPr>
        <w:pStyle w:val="ListBullet"/>
      </w:pPr>
      <w:r>
        <w:t>Architecture changes: 0.</w:t>
      </w:r>
    </w:p>
    <w:p>
      <w:pPr>
        <w:pStyle w:val="ListBullet"/>
      </w:pPr>
      <w:r>
        <w:t>Final tests: 12/12 passed.</w:t>
      </w:r>
    </w:p>
    <w:p>
      <w:pPr>
        <w:pStyle w:val="Heading1"/>
      </w:pPr>
      <w:r>
        <w:t>Program transition</w:t>
      </w:r>
    </w:p>
    <w:p>
      <w:r>
        <w:t>The frozen grid-world tranche is now complete: Deep Sea Treasure family, Resource Gathering, Fishwood, Breakable Bottles, Fruit Tree, and Four Room have all received explicit dispositions. The next phase is remaining Classic Control coverage, beginning with the untested MountainCar registered variants and Continuous MountainCar, followed by Lunar Lander.</w:t>
      </w:r>
    </w:p>
    <w:sectPr w:rsidR="00FC693F" w:rsidRPr="0006063C" w:rsidSect="00034616">
      <w:pgSz w:w="12240" w:h="15840"/>
      <w:pgMar w:top="749" w:right="950" w:bottom="749"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