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MO-10 MountainCar Discrete Variants Result v1.0</w:t>
      </w:r>
    </w:p>
    <w:p>
      <w:r>
        <w:t>PV-PP MO-Gymnasium Complete-Suite Coverage Program | August 2026</w:t>
      </w:r>
    </w:p>
    <w:p>
      <w:pPr>
        <w:pStyle w:val="Heading1"/>
      </w:pPr>
      <w:r>
        <w:t>Execution result</w:t>
      </w:r>
    </w:p>
    <w:p>
      <w:r>
        <w:rPr>
          <w:b/>
        </w:rPr>
        <w:t xml:space="preserve">PASS - all three remaining discrete registrations are covered. </w:t>
      </w:r>
      <w:r>
        <w:t>Regression: 13 passed, 0 failed.</w:t>
      </w:r>
    </w:p>
    <w:p>
      <w:pPr>
        <w:pStyle w:val="Heading1"/>
      </w:pPr>
      <w:r>
        <w:t>Variant-level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c>
          <w:tcPr>
            <w:tcW w:type="dxa" w:w="2585"/>
          </w:tcPr>
          <w:p>
            <w:r>
              <w:t>Registration</w:t>
            </w:r>
          </w:p>
        </w:tc>
        <w:tc>
          <w:tcPr>
            <w:tcW w:type="dxa" w:w="2585"/>
          </w:tcPr>
          <w:p>
            <w:r>
              <w:t>Reward vector</w:t>
            </w:r>
          </w:p>
        </w:tc>
        <w:tc>
          <w:tcPr>
            <w:tcW w:type="dxa" w:w="2585"/>
          </w:tcPr>
          <w:p>
            <w:r>
              <w:t>Equal-weight outcome</w:t>
            </w:r>
          </w:p>
        </w:tc>
        <w:tc>
          <w:tcPr>
            <w:tcW w:type="dxa" w:w="2585"/>
          </w:tcPr>
          <w:p>
            <w:r>
              <w:t>Adequacy-gated outcome</w:t>
            </w:r>
          </w:p>
        </w:tc>
      </w:tr>
      <w:tr>
        <w:tc>
          <w:tcPr>
            <w:tcW w:type="dxa" w:w="2585"/>
          </w:tcPr>
          <w:p>
            <w:r>
              <w:t>mo-mountaincar-timemove-v0</w:t>
            </w:r>
          </w:p>
        </w:tc>
        <w:tc>
          <w:tcPr>
            <w:tcW w:type="dxa" w:w="2585"/>
          </w:tcPr>
          <w:p>
            <w:r>
              <w:t>[time, move]</w:t>
            </w:r>
          </w:p>
        </w:tc>
        <w:tc>
          <w:tcPr>
            <w:tcW w:type="dxa" w:w="2585"/>
          </w:tcPr>
          <w:p>
            <w:r>
              <w:t>Coast at all 5 starts</w:t>
            </w:r>
          </w:p>
        </w:tc>
        <w:tc>
          <w:tcPr>
            <w:tcW w:type="dxa" w:w="2585"/>
          </w:tcPr>
          <w:p>
            <w:r>
              <w:t>Momentum at all 5 starts</w:t>
            </w:r>
          </w:p>
        </w:tc>
      </w:tr>
      <w:tr>
        <w:tc>
          <w:tcPr>
            <w:tcW w:type="dxa" w:w="2585"/>
          </w:tcPr>
          <w:p>
            <w:r>
              <w:t>mo-mountaincar-timespeed-v0</w:t>
            </w:r>
          </w:p>
        </w:tc>
        <w:tc>
          <w:tcPr>
            <w:tcW w:type="dxa" w:w="2585"/>
          </w:tcPr>
          <w:p>
            <w:r>
              <w:t>[time, speed]</w:t>
            </w:r>
          </w:p>
        </w:tc>
        <w:tc>
          <w:tcPr>
            <w:tcW w:type="dxa" w:w="2585"/>
          </w:tcPr>
          <w:p>
            <w:r>
              <w:t>Momentum at all 5 starts</w:t>
            </w:r>
          </w:p>
        </w:tc>
        <w:tc>
          <w:tcPr>
            <w:tcW w:type="dxa" w:w="2585"/>
          </w:tcPr>
          <w:p>
            <w:r>
              <w:t>Momentum at all 5 starts</w:t>
            </w:r>
          </w:p>
        </w:tc>
      </w:tr>
      <w:tr>
        <w:tc>
          <w:tcPr>
            <w:tcW w:type="dxa" w:w="2585"/>
          </w:tcPr>
          <w:p>
            <w:r>
              <w:t>mo-mountaincar-3d-v0</w:t>
            </w:r>
          </w:p>
        </w:tc>
        <w:tc>
          <w:tcPr>
            <w:tcW w:type="dxa" w:w="2585"/>
          </w:tcPr>
          <w:p>
            <w:r>
              <w:t>[time, move, speed]</w:t>
            </w:r>
          </w:p>
        </w:tc>
        <w:tc>
          <w:tcPr>
            <w:tcW w:type="dxa" w:w="2585"/>
          </w:tcPr>
          <w:p>
            <w:r>
              <w:t>Momentum at starts -0.60/-0.55; coast at -0.50/-0.45/-0.40</w:t>
            </w:r>
          </w:p>
        </w:tc>
        <w:tc>
          <w:tcPr>
            <w:tcW w:type="dxa" w:w="2585"/>
          </w:tcPr>
          <w:p>
            <w:r>
              <w:t>Momentum at all 5 starts</w:t>
            </w:r>
          </w:p>
        </w:tc>
      </w:tr>
    </w:tbl>
    <w:p>
      <w:pPr>
        <w:pStyle w:val="Heading1"/>
      </w:pPr>
      <w:r>
        <w:t>Time + move</w:t>
      </w:r>
    </w:p>
    <w:p>
      <w:r>
        <w:t>Merging reverse and forward costs into one movement penalty preserves the same basic containment structure seen in MO-01. Equal weights prefer doing nothing because the reaching momentum policy pays a movement penalty on every action. The common frozen-start boundary remains positive: the most restrictive movement-weight threshold is approximately 0.621. Below the relevant threshold the reaching policy can win; above it a non-reaching low-movement policy can win unless task adequacy is imposed.</w:t>
      </w:r>
    </w:p>
    <w:p>
      <w:pPr>
        <w:pStyle w:val="Heading1"/>
      </w:pPr>
      <w:r>
        <w:t>Time + speed</w:t>
      </w:r>
    </w:p>
    <w:p>
      <w:r>
        <w:t>Removing movement penalties and adding the source-defined 15*|velocity| objective changes the outcome materially. Equal positive unit weights select the reaching momentum policy from all five starts. In this frozen policy set, a positive speed weight reinforces rather than undermines the time objective.</w:t>
      </w:r>
    </w:p>
    <w:p>
      <w:pPr>
        <w:pStyle w:val="Heading1"/>
      </w:pPr>
      <w:r>
        <w:t>Time + move + speed</w:t>
      </w:r>
    </w:p>
    <w:p>
      <w:r>
        <w:t>The three-objective registration produces a genuine start-sensitive scalar result. With equal unit weights, the added speed reward is enough to make momentum win from starts -0.60 and -0.55, but not from -0.50, -0.45, or -0.40, where coast still wins. Thus the same fixed scalar weights can produce qualitatively different task completion solely because the initial state changes the accumulated speed/time/movement geometry.</w:t>
      </w:r>
    </w:p>
    <w:p>
      <w:pPr>
        <w:pStyle w:val="Heading1"/>
      </w:pPr>
      <w:r>
        <w:t>Adequacy result</w:t>
      </w:r>
    </w:p>
    <w:p>
      <w:r>
        <w:t>When the frozen task requirement is simply that the car reach the summit within the horizon, all non-reaching policies are excluded before ordinary ranking. The momentum policy is then selected at all five starts in all three variants. This is not evidence that scalarization is invalid; it shows that a weighted reward and task feasibility/adequacy answer different questions.</w:t>
      </w:r>
    </w:p>
    <w:p>
      <w:pPr>
        <w:pStyle w:val="Heading1"/>
      </w:pPr>
      <w:r>
        <w:t>PV-PP interpretation</w:t>
      </w:r>
    </w:p>
    <w:p>
      <w:r>
        <w:t>These variants strengthen the conditional-containment position. A scalar reward map can be entirely adequate when its objective definition aligns with the task, as in the time+speed variant here. It can also select a non-completing policy when movement cost dominates, which is not a mathematical failure of the scalar but a task-framing/adequacy issue. No new PV-PP operator is required to preserve that distinction.</w:t>
      </w:r>
    </w:p>
    <w:p>
      <w:pPr>
        <w:pStyle w:val="Heading1"/>
      </w:pPr>
      <w:r>
        <w:t>Disposition</w:t>
      </w:r>
    </w:p>
    <w:p>
      <w:pPr>
        <w:pStyle w:val="ListBullet"/>
      </w:pPr>
      <w:r>
        <w:t>Primary class: C - scalar containment / reward-definition sensitivity.</w:t>
      </w:r>
    </w:p>
    <w:p>
      <w:pPr>
        <w:pStyle w:val="ListBullet"/>
      </w:pPr>
      <w:r>
        <w:t>Secondary class: A - summit adequacy excludes non-reaching scalar winners.</w:t>
      </w:r>
    </w:p>
    <w:p>
      <w:pPr>
        <w:pStyle w:val="ListBullet"/>
      </w:pPr>
      <w:r>
        <w:t>Registered discrete MountainCar coverage: all four registrations now covered when MO-01 baseline is included.</w:t>
      </w:r>
    </w:p>
    <w:p>
      <w:pPr>
        <w:pStyle w:val="ListBullet"/>
      </w:pPr>
      <w:r>
        <w:t>Canonical architecture change: NONE.</w:t>
      </w:r>
    </w:p>
    <w:p>
      <w:pPr>
        <w:pStyle w:val="ListBullet"/>
      </w:pPr>
      <w:r>
        <w:t>Formalization gap: NONE.</w:t>
      </w:r>
    </w:p>
    <w:p>
      <w:pPr>
        <w:pStyle w:val="ListBullet"/>
      </w:pPr>
      <w:r>
        <w:t>Architecture failure: NONE.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