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MO-11 Continuous MountainCar Closeout v1.0</w:t>
      </w:r>
    </w:p>
    <w:p>
      <w:r>
        <w:t>PV-PP MO-Gymnasium Complete-Suite Coverage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- CONTINUOUS MOUNTAINCAR COVERED / PASS.</w:t>
      </w:r>
    </w:p>
    <w:p>
      <w:r>
        <w:t>The environment contributes a continuous-control example in which the frozen source-faithful policy family contains a nonconvex time/fuel tradeoff. Fixed linear scalarization supports some but not all nondominated candidates.</w:t>
      </w:r>
    </w:p>
    <w:p>
      <w:pPr>
        <w:pStyle w:val="Heading1"/>
      </w:pPr>
      <w:r>
        <w:t>Core finding</w:t>
      </w:r>
    </w:p>
    <w:p>
      <w:r>
        <w:t>46 fully successful candidate policies are nondominated; 15 are linearly supported and 31 are not. The explicit &lt;=180-step / &gt;=-29-fuel adequacy requirement uniquely selects unsupported magnitude 0.40.</w:t>
      </w:r>
    </w:p>
    <w:p>
      <w:pPr>
        <w:pStyle w:val="Heading1"/>
      </w:pPr>
      <w:r>
        <w:t>Claim boundary</w:t>
      </w:r>
    </w:p>
    <w:p>
      <w:r>
        <w:t>This is a candidate-policy-family result, not an exact characterization of all continuous policies. It supports the narrower proposition that even a two-objective continuous-control problem can generate a nonconvex tradeoff under a natural frozen policy parameterization.</w:t>
      </w:r>
    </w:p>
    <w:p>
      <w:pPr>
        <w:pStyle w:val="Heading1"/>
      </w:pPr>
      <w:r>
        <w:t>Coverage ledger</w:t>
      </w:r>
    </w:p>
    <w:p>
      <w:pPr>
        <w:pStyle w:val="ListBullet"/>
      </w:pPr>
      <w:r>
        <w:t>mo-mountaincarcontinuous-v0 - complete.</w:t>
      </w:r>
    </w:p>
    <w:p>
      <w:pPr>
        <w:pStyle w:val="ListBullet"/>
      </w:pPr>
      <w:r>
        <w:t>Result: PASS.</w:t>
      </w:r>
    </w:p>
    <w:p>
      <w:pPr>
        <w:pStyle w:val="ListBullet"/>
      </w:pPr>
      <w:r>
        <w:t>Classification: P/A with partial C containment.</w:t>
      </w:r>
    </w:p>
    <w:p>
      <w:pPr>
        <w:pStyle w:val="ListBullet"/>
      </w:pPr>
      <w:r>
        <w:t>Architecture changes: 0.</w:t>
      </w:r>
    </w:p>
    <w:p>
      <w:pPr>
        <w:pStyle w:val="ListBullet"/>
      </w:pPr>
      <w:r>
        <w:t>Final tests: 13/13 passed.</w:t>
      </w:r>
    </w:p>
    <w:p>
      <w:pPr>
        <w:pStyle w:val="Heading1"/>
      </w:pPr>
      <w:r>
        <w:t>Next target</w:t>
      </w:r>
    </w:p>
    <w:p>
      <w:r>
        <w:t>Proceed to MO-Lunar-Lander, completing Classic Control coverage.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