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MO-12 Lunar Lander Charter v1.0</w:t>
      </w:r>
    </w:p>
    <w:p>
      <w:r>
        <w:t>PV-PP MO-Gymnasium Complete-Suite Coverage Program | August 2026</w:t>
      </w:r>
    </w:p>
    <w:p>
      <w:pPr>
        <w:pStyle w:val="Heading1"/>
      </w:pPr>
      <w:r>
        <w:t>Current-source registration freeze</w:t>
      </w:r>
    </w:p>
    <w:p>
      <w:r>
        <w:t>The current package source registers two Lunar Lander environments: mo-lunar-lander-v3 (discrete actions) and mo-lunar-lander-continuous-v3 (continuous actions). Both use the same MOLunarLander class and four-component reward decomposition.</w:t>
      </w:r>
    </w:p>
    <w:p>
      <w:pPr>
        <w:pStyle w:val="Heading1"/>
      </w:pPr>
      <w:r>
        <w:t>Public reward mechanics</w:t>
      </w:r>
    </w:p>
    <w:p>
      <w:pPr>
        <w:pStyle w:val="ListBullet"/>
      </w:pPr>
      <w:r>
        <w:t>Reward vector order: terminal outcome, shaping delta, main-engine fuel, side-engine fuel.</w:t>
      </w:r>
    </w:p>
    <w:p>
      <w:pPr>
        <w:pStyle w:val="ListBullet"/>
      </w:pPr>
      <w:r>
        <w:t>Terminal outcome is -100 on crash and +100 on successful rest/landing.</w:t>
      </w:r>
    </w:p>
    <w:p>
      <w:pPr>
        <w:pStyle w:val="ListBullet"/>
      </w:pPr>
      <w:r>
        <w:t>Main-engine vector component is -m_power; side-engine component is -s_power.</w:t>
      </w:r>
    </w:p>
    <w:p>
      <w:pPr>
        <w:pStyle w:val="ListBullet"/>
      </w:pPr>
      <w:r>
        <w:t>On ordinary nonterminal transitions, the source's original scalar reward equals shaping_delta - 0.30*m_power - 0.03*s_power.</w:t>
      </w:r>
    </w:p>
    <w:p>
      <w:pPr>
        <w:pStyle w:val="ListBullet"/>
      </w:pPr>
      <w:r>
        <w:t>On terminal transitions, the source overwrites that scalar with exactly -100 or +100, while the vector still retains shaping and fuel components.</w:t>
      </w:r>
    </w:p>
    <w:p>
      <w:pPr>
        <w:pStyle w:val="Heading1"/>
      </w:pPr>
      <w:r>
        <w:t>Frozen probes</w:t>
      </w:r>
    </w:p>
    <w:p>
      <w:pPr>
        <w:pStyle w:val="ListBullet"/>
      </w:pPr>
      <w:r>
        <w:t>Audit whether one fixed linear weighting of the four vector components can reproduce the source's own original scalar reward on both nonterminal and terminal transitions.</w:t>
      </w:r>
    </w:p>
    <w:p>
      <w:pPr>
        <w:pStyle w:val="ListBullet"/>
      </w:pPr>
      <w:r>
        <w:t>Verify discrete and continuous action branches at the reward/engine-power level.</w:t>
      </w:r>
    </w:p>
    <w:p>
      <w:pPr>
        <w:pStyle w:val="ListBullet"/>
      </w:pPr>
      <w:r>
        <w:t>Treat successful landing as an explicit adequacy/terminal-state distinction rather than assuming shaping and fuel are interchangeable with terminal outcome.</w:t>
      </w:r>
    </w:p>
    <w:p>
      <w:pPr>
        <w:pStyle w:val="ListBullet"/>
      </w:pPr>
      <w:r>
        <w:t>Do not claim full Box2D trajectory or trained-policy performance; Gymnasium and Box2D are unavailable in the execution container.</w:t>
      </w:r>
    </w:p>
    <w:p>
      <w:pPr>
        <w:pStyle w:val="ListBullet"/>
      </w:pPr>
      <w:r>
        <w:t>Do not modify canonical PV-PP architecture during execution.</w:t>
      </w:r>
    </w:p>
    <w:p>
      <w:pPr>
        <w:pStyle w:val="Heading1"/>
      </w:pPr>
      <w:r>
        <w:t>Documentation/version note</w:t>
      </w:r>
    </w:p>
    <w:p>
      <w:r>
        <w:t>Some summary pages still display the older v2 identifier. The current environment-specific documentation and current registration source identify v3. This benchmark follows the current source registrations.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