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MO-12 Lunar Lander Closeout v1.0</w:t>
      </w:r>
    </w:p>
    <w:p>
      <w:r>
        <w:t>PV-PP MO-Gymnasium Complete-Suite Coverage Program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- LUNAR LANDER CLASSIC-CONTROL FAMILY COVERED / PASS.</w:t>
      </w:r>
    </w:p>
    <w:p>
      <w:r>
        <w:t>The current discrete and continuous v3 registrations share a four-objective reward implementation and are covered together at the source-mechanism level.</w:t>
      </w:r>
    </w:p>
    <w:p>
      <w:pPr>
        <w:pStyle w:val="Heading1"/>
      </w:pPr>
      <w:r>
        <w:t>Core finding</w:t>
      </w:r>
    </w:p>
    <w:p>
      <w:r>
        <w:t>Nonterminal legacy scalar reward is linearly recoverable from shaping and fuel components, but terminal scalar reward is an overwrite to exactly +/-100. No one fixed linear weighting of the raw four-component vector can reproduce both semantics for arbitrary transitions. Successful landing is therefore structurally cleaner as a terminal adequacy/state condition than as merely another commensurable weighted component.</w:t>
      </w:r>
    </w:p>
    <w:p>
      <w:pPr>
        <w:pStyle w:val="Heading1"/>
      </w:pPr>
      <w:r>
        <w:t>Coverage ledger</w:t>
      </w:r>
    </w:p>
    <w:p>
      <w:pPr>
        <w:pStyle w:val="ListBullet"/>
      </w:pPr>
      <w:r>
        <w:t>mo-lunar-lander-v3 - covered.</w:t>
      </w:r>
    </w:p>
    <w:p>
      <w:pPr>
        <w:pStyle w:val="ListBullet"/>
      </w:pPr>
      <w:r>
        <w:t>mo-lunar-lander-continuous-v3 - covered.</w:t>
      </w:r>
    </w:p>
    <w:p>
      <w:pPr>
        <w:pStyle w:val="ListBullet"/>
      </w:pPr>
      <w:r>
        <w:t>Result: PASS.</w:t>
      </w:r>
    </w:p>
    <w:p>
      <w:pPr>
        <w:pStyle w:val="ListBullet"/>
      </w:pPr>
      <w:r>
        <w:t>Classification: A with fixed-linear-mapping boundary.</w:t>
      </w:r>
    </w:p>
    <w:p>
      <w:pPr>
        <w:pStyle w:val="ListBullet"/>
      </w:pPr>
      <w:r>
        <w:t>Architecture changes: 0.</w:t>
      </w:r>
    </w:p>
    <w:p>
      <w:pPr>
        <w:pStyle w:val="ListBullet"/>
      </w:pPr>
      <w:r>
        <w:t>Final tests: 13/13 passed.</w:t>
      </w:r>
    </w:p>
    <w:p>
      <w:pPr>
        <w:pStyle w:val="ListBullet"/>
      </w:pPr>
      <w:r>
        <w:t>Fidelity limitation: source-faithful reward/branch audit; no Box2D rollout.</w:t>
      </w:r>
    </w:p>
    <w:p>
      <w:pPr>
        <w:pStyle w:val="Heading1"/>
      </w:pPr>
      <w:r>
        <w:t>Phase status</w:t>
      </w:r>
    </w:p>
    <w:p>
      <w:r>
        <w:t>Classic Control coverage is complete. The next frozen phase is Miscellaneous environments, beginning with the remaining Minecart registered variants and then Highway/Super Mario as required by registry reconciliation.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