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MO-13 Minecart Variant Reconciliation Charter v1.0</w:t>
      </w:r>
    </w:p>
    <w:p>
      <w:r>
        <w:t>PV-PP MO-Gymnasium Complete-Suite Coverage Program | Miscellaneous Phase | August 2026</w:t>
      </w:r>
    </w:p>
    <w:p>
      <w:pPr>
        <w:pStyle w:val="Heading1"/>
      </w:pPr>
      <w:r>
        <w:t>Purpose</w:t>
      </w:r>
    </w:p>
    <w:p>
      <w:r>
        <w:t>Reconcile every current Minecart registration against completed MO-02 so the complete-suite program neither reruns equivalent cases nor leaves materially distinct variants untested.</w:t>
      </w:r>
    </w:p>
    <w:p>
      <w:pPr>
        <w:pStyle w:val="Heading1"/>
      </w:pPr>
      <w:r>
        <w:t>Current registrations frozen</w:t>
      </w:r>
    </w:p>
    <w:p>
      <w:pPr>
        <w:pStyle w:val="ListBullet"/>
      </w:pPr>
      <w:r>
        <w:t>minecart-v0 — baseline numerical-observation environment; already covered by MO-02.</w:t>
      </w:r>
    </w:p>
    <w:p>
      <w:pPr>
        <w:pStyle w:val="ListBullet"/>
      </w:pPr>
      <w:r>
        <w:t>minecart-rgb-v0 — same Minecart entry point and default configuration, with image_observation=True.</w:t>
      </w:r>
    </w:p>
    <w:p>
      <w:pPr>
        <w:pStyle w:val="ListBullet"/>
      </w:pPr>
      <w:r>
        <w:t>minecart-deterministic-v0 — same Minecart entry point with mine_config_det.json, replacing stochastic ore distributions with zero-variance deterministic yields.</w:t>
      </w:r>
    </w:p>
    <w:p>
      <w:pPr>
        <w:pStyle w:val="Heading1"/>
      </w:pPr>
      <w:r>
        <w:t>Coverage rule</w:t>
      </w:r>
    </w:p>
    <w:p>
      <w:r>
        <w:t>A variant that changes only observation representation is equivalence-covered. A variant that changes reward-generation mechanics receives an explicit execution even if action, transition, and reward-vector structure remain unchanged.</w:t>
      </w:r>
    </w:p>
    <w:p>
      <w:pPr>
        <w:pStyle w:val="Heading1"/>
      </w:pPr>
      <w:r>
        <w:t>Frozen questions</w:t>
      </w:r>
    </w:p>
    <w:p>
      <w:pPr>
        <w:pStyle w:val="ListBullet"/>
      </w:pPr>
      <w:r>
        <w:t>Does the RGB registration alter transition or reward semantics? If not, equivalence-cover it.</w:t>
      </w:r>
    </w:p>
    <w:p>
      <w:pPr>
        <w:pStyle w:val="ListBullet"/>
      </w:pPr>
      <w:r>
        <w:t>Does the deterministic configuration materially change the Pareto/linear-support conclusion from MO-02?</w:t>
      </w:r>
    </w:p>
    <w:p>
      <w:pPr>
        <w:pStyle w:val="ListBullet"/>
      </w:pPr>
      <w:r>
        <w:t>Preserve any differences in exact reward coordinates even if the qualitative classification is unchanged.</w:t>
      </w:r>
    </w:p>
    <w:p>
      <w:pPr>
        <w:pStyle w:val="ListBullet"/>
      </w:pPr>
      <w:r>
        <w:t>No canonical PV-PP rule may be changed during reconciliation.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