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MO-13 Minecart Variant Reconciliation Result v1.0</w:t>
      </w:r>
    </w:p>
    <w:p>
      <w:r>
        <w:t>PV-PP MO-Gymnasium Complete-Suite Coverage Program | Miscellaneous Phase | August 2026</w:t>
      </w:r>
    </w:p>
    <w:p>
      <w:pPr>
        <w:pStyle w:val="Heading1"/>
      </w:pPr>
      <w:r>
        <w:t>Execution result</w:t>
      </w:r>
    </w:p>
    <w:p>
      <w:r>
        <w:rPr>
          <w:b/>
        </w:rPr>
        <w:t xml:space="preserve">PASS — all current Minecart registrations reconciled and covered. </w:t>
      </w:r>
      <w:r>
        <w:t>Regression: 12 passed, 0 failed.</w:t>
      </w:r>
    </w:p>
    <w:p>
      <w:pPr>
        <w:pStyle w:val="Heading1"/>
      </w:pPr>
      <w:r>
        <w:t>Registry reconciliation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c>
          <w:tcPr>
            <w:tcW w:type="dxa" w:w="2585"/>
          </w:tcPr>
          <w:p>
            <w:r>
              <w:t>Registration</w:t>
            </w:r>
          </w:p>
        </w:tc>
        <w:tc>
          <w:tcPr>
            <w:tcW w:type="dxa" w:w="2585"/>
          </w:tcPr>
          <w:p>
            <w:r>
              <w:t>Material change</w:t>
            </w:r>
          </w:p>
        </w:tc>
        <w:tc>
          <w:tcPr>
            <w:tcW w:type="dxa" w:w="2585"/>
          </w:tcPr>
          <w:p>
            <w:r>
              <w:t>Coverage</w:t>
            </w:r>
          </w:p>
        </w:tc>
        <w:tc>
          <w:tcPr>
            <w:tcW w:type="dxa" w:w="2585"/>
          </w:tcPr>
          <w:p>
            <w:r>
              <w:t>Disposition</w:t>
            </w:r>
          </w:p>
        </w:tc>
      </w:tr>
      <w:tr>
        <w:tc>
          <w:tcPr>
            <w:tcW w:type="dxa" w:w="2585"/>
          </w:tcPr>
          <w:p>
            <w:r>
              <w:t>minecart-v0</w:t>
            </w:r>
          </w:p>
        </w:tc>
        <w:tc>
          <w:tcPr>
            <w:tcW w:type="dxa" w:w="2585"/>
          </w:tcPr>
          <w:p>
            <w:r>
              <w:t>Baseline</w:t>
            </w:r>
          </w:p>
        </w:tc>
        <w:tc>
          <w:tcPr>
            <w:tcW w:type="dxa" w:w="2585"/>
          </w:tcPr>
          <w:p>
            <w:r>
              <w:t>MO-02 executed</w:t>
            </w:r>
          </w:p>
        </w:tc>
        <w:tc>
          <w:tcPr>
            <w:tcW w:type="dxa" w:w="2585"/>
          </w:tcPr>
          <w:p>
            <w:r>
              <w:t>CLOSED</w:t>
            </w:r>
          </w:p>
        </w:tc>
      </w:tr>
      <w:tr>
        <w:tc>
          <w:tcPr>
            <w:tcW w:type="dxa" w:w="2585"/>
          </w:tcPr>
          <w:p>
            <w:r>
              <w:t>minecart-rgb-v0</w:t>
            </w:r>
          </w:p>
        </w:tc>
        <w:tc>
          <w:tcPr>
            <w:tcW w:type="dxa" w:w="2585"/>
          </w:tcPr>
          <w:p>
            <w:r>
              <w:t>Observation only: RGB</w:t>
            </w:r>
          </w:p>
        </w:tc>
        <w:tc>
          <w:tcPr>
            <w:tcW w:type="dxa" w:w="2585"/>
          </w:tcPr>
          <w:p>
            <w:r>
              <w:t>Equivalence-covered</w:t>
            </w:r>
          </w:p>
        </w:tc>
        <w:tc>
          <w:tcPr>
            <w:tcW w:type="dxa" w:w="2585"/>
          </w:tcPr>
          <w:p>
            <w:r>
              <w:t>CLOSED</w:t>
            </w:r>
          </w:p>
        </w:tc>
      </w:tr>
      <w:tr>
        <w:tc>
          <w:tcPr>
            <w:tcW w:type="dxa" w:w="2585"/>
          </w:tcPr>
          <w:p>
            <w:r>
              <w:t>minecart-deterministic-v0</w:t>
            </w:r>
          </w:p>
        </w:tc>
        <w:tc>
          <w:tcPr>
            <w:tcW w:type="dxa" w:w="2585"/>
          </w:tcPr>
          <w:p>
            <w:r>
              <w:t>Ore stochasticity removed</w:t>
            </w:r>
          </w:p>
        </w:tc>
        <w:tc>
          <w:tcPr>
            <w:tcW w:type="dxa" w:w="2585"/>
          </w:tcPr>
          <w:p>
            <w:r>
              <w:t>Executed here</w:t>
            </w:r>
          </w:p>
        </w:tc>
        <w:tc>
          <w:tcPr>
            <w:tcW w:type="dxa" w:w="2585"/>
          </w:tcPr>
          <w:p>
            <w:r>
              <w:t>CLOSED</w:t>
            </w:r>
          </w:p>
        </w:tc>
      </w:tr>
    </w:tbl>
    <w:p>
      <w:pPr>
        <w:pStyle w:val="Heading1"/>
      </w:pPr>
      <w:r>
        <w:t>RGB variant</w:t>
      </w:r>
    </w:p>
    <w:p>
      <w:r>
        <w:t>The RGB registration uses the same Minecart class, same default config, same six actions, same transition mechanics, and same three-dimensional reward vector. The registration difference is image_observation=True. It therefore changes what the agent observes, not the underlying decision/reward problem. Under the frozen coverage rule, it is equivalence-covered rather than rerun.</w:t>
      </w:r>
    </w:p>
    <w:p>
      <w:pPr>
        <w:pStyle w:val="Heading1"/>
      </w:pPr>
      <w:r>
        <w:t>Deterministic variant</w:t>
      </w:r>
    </w:p>
    <w:p>
      <w:r>
        <w:t>The deterministic config keeps the same five mine locations, capacity 1.5, two ore objectives, and fuel objective, but sets every ore-distribution standard deviation to zero. Re-executing the source-derived analytical Pareto program produced 154 candidate return vectors and 10 unique Pareto-efficient vectors.</w:t>
      </w:r>
    </w:p>
    <w:p>
      <w:r>
        <w:t>Exactly 6 of the 10 deterministic Pareto points are supportable by some nonnegative linear weight vector and 4 are unsupported. This is the same 6-supported / 4-unsupported structure found in MO-02, although the exact ore coordinates change because stochastic truncated-normal means are replaced by deterministic yields.</w:t>
      </w:r>
    </w:p>
    <w:p>
      <w:pPr>
        <w:pStyle w:val="Heading1"/>
      </w:pPr>
      <w:r>
        <w:t>Representative deterministic points</w:t>
      </w:r>
    </w:p>
    <w:p>
      <w:pPr>
        <w:pStyle w:val="ListBullet"/>
      </w:pPr>
      <w:r>
        <w:t>Index 0: [0.800, 0.000, -0.780] — Pareto-efficient but linearly unsupported.</w:t>
      </w:r>
    </w:p>
    <w:p>
      <w:pPr>
        <w:pStyle w:val="ListBullet"/>
      </w:pPr>
      <w:r>
        <w:t>Index 2: [0.600, 0.400, -0.820] — Pareto-efficient but linearly unsupported.</w:t>
      </w:r>
    </w:p>
    <w:p>
      <w:pPr>
        <w:pStyle w:val="ListBullet"/>
      </w:pPr>
      <w:r>
        <w:t>Index 4: [0.750, 0.750, -0.880] — linearly supported.</w:t>
      </w:r>
    </w:p>
    <w:p>
      <w:pPr>
        <w:pStyle w:val="ListBullet"/>
      </w:pPr>
      <w:r>
        <w:t>Index 7: [0.000, 0.800, -0.780] — Pareto-efficient but linearly unsupported.</w:t>
      </w:r>
    </w:p>
    <w:p>
      <w:pPr>
        <w:pStyle w:val="ListBullet"/>
      </w:pPr>
      <w:r>
        <w:t>Index 9: [0.000, 0.000, -0.260] — linearly supported.</w:t>
      </w:r>
    </w:p>
    <w:p>
      <w:pPr>
        <w:pStyle w:val="Heading1"/>
      </w:pPr>
      <w:r>
        <w:t>PV-PP interpretation</w:t>
      </w:r>
    </w:p>
    <w:p>
      <w:r>
        <w:t>The deterministic registration confirms that the MO-02 conclusion was not an artifact of ore-yield variance. Removing stochasticity changes the numerical frontier but leaves the key geometry intact: some Pareto-efficient tradeoffs remain outside the support set of ordinary nonnegative linear weighted sums. Threshold/adequacy reasoning can therefore remain decision-relevant in the deterministic case as well.</w:t>
      </w:r>
    </w:p>
    <w:p>
      <w:pPr>
        <w:pStyle w:val="Heading1"/>
      </w:pPr>
      <w:r>
        <w:t>Disposition</w:t>
      </w:r>
    </w:p>
    <w:p>
      <w:pPr>
        <w:pStyle w:val="ListBullet"/>
      </w:pPr>
      <w:r>
        <w:t>minecart-v0: previously CLOSED/PASS under MO-02.</w:t>
      </w:r>
    </w:p>
    <w:p>
      <w:pPr>
        <w:pStyle w:val="ListBullet"/>
      </w:pPr>
      <w:r>
        <w:t>minecart-rgb-v0: CLOSED by observation-equivalence coverage.</w:t>
      </w:r>
    </w:p>
    <w:p>
      <w:pPr>
        <w:pStyle w:val="ListBullet"/>
      </w:pPr>
      <w:r>
        <w:t>minecart-deterministic-v0: CLOSED/PASS after explicit analytical execution.</w:t>
      </w:r>
    </w:p>
    <w:p>
      <w:pPr>
        <w:pStyle w:val="ListBullet"/>
      </w:pPr>
      <w:r>
        <w:t>Primary classification for deterministic variant: P — Pareto preservation / linear non-recovery.</w:t>
      </w:r>
    </w:p>
    <w:p>
      <w:pPr>
        <w:pStyle w:val="ListBullet"/>
      </w:pPr>
      <w:r>
        <w:t>Canonical architecture change: NONE.</w:t>
      </w:r>
    </w:p>
    <w:p>
      <w:pPr>
        <w:pStyle w:val="ListBullet"/>
      </w:pPr>
      <w:r>
        <w:t>Formalization gap: NONE.</w:t>
      </w:r>
    </w:p>
    <w:p>
      <w:pPr>
        <w:pStyle w:val="ListBullet"/>
      </w:pPr>
      <w:r>
        <w:t>Architecture failure: NONE.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