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MO-16 MuJoCo Tranche Charter v1.0</w:t>
      </w:r>
    </w:p>
    <w:p>
      <w:r>
        <w:t>PV-PP MO-Gymnasium Complete-Suite Coverage Program | Final Frozen Phase | August 2026</w:t>
      </w:r>
    </w:p>
    <w:p>
      <w:pPr>
        <w:pStyle w:val="Heading1"/>
      </w:pPr>
      <w:r>
        <w:t>Coverage freeze</w:t>
      </w:r>
    </w:p>
    <w:p>
      <w:r>
        <w:t>The current MO-Gymnasium documentation lists seven MuJoCo families. Current v5 registrations add separate 2-objective variants for Hopper and Ant, producing nine registrations total for this tranche.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</w:tcPr>
          <w:p>
            <w:r>
              <w:t>Family</w:t>
            </w:r>
          </w:p>
        </w:tc>
        <w:tc>
          <w:tcPr>
            <w:tcW w:type="dxa" w:w="3485"/>
          </w:tcPr>
          <w:p>
            <w:r>
              <w:t>Registration(s)</w:t>
            </w:r>
          </w:p>
        </w:tc>
        <w:tc>
          <w:tcPr>
            <w:tcW w:type="dxa" w:w="3485"/>
          </w:tcPr>
          <w:p>
            <w:r>
              <w:t>Objectives</w:t>
            </w:r>
          </w:p>
        </w:tc>
      </w:tr>
      <w:tr>
        <w:tc>
          <w:tcPr>
            <w:tcW w:type="dxa" w:w="3485"/>
          </w:tcPr>
          <w:p>
            <w:r>
              <w:t>Reacher</w:t>
            </w:r>
          </w:p>
        </w:tc>
        <w:tc>
          <w:tcPr>
            <w:tcW w:type="dxa" w:w="3485"/>
          </w:tcPr>
          <w:p>
            <w:r>
              <w:t>mo-reacher-v5</w:t>
            </w:r>
          </w:p>
        </w:tc>
        <w:tc>
          <w:tcPr>
            <w:tcW w:type="dxa" w:w="3485"/>
          </w:tcPr>
          <w:p>
            <w:r>
              <w:t>target_1; target_2; target_3; target_4</w:t>
            </w:r>
          </w:p>
        </w:tc>
      </w:tr>
      <w:tr>
        <w:tc>
          <w:tcPr>
            <w:tcW w:type="dxa" w:w="3485"/>
          </w:tcPr>
          <w:p>
            <w:r>
              <w:t>Hopper</w:t>
            </w:r>
          </w:p>
        </w:tc>
        <w:tc>
          <w:tcPr>
            <w:tcW w:type="dxa" w:w="3485"/>
          </w:tcPr>
          <w:p>
            <w:r>
              <w:t>mo-hopper-v5, mo-hopper-2obj-v5</w:t>
            </w:r>
          </w:p>
        </w:tc>
        <w:tc>
          <w:tcPr>
            <w:tcW w:type="dxa" w:w="3485"/>
          </w:tcPr>
          <w:p>
            <w:r>
              <w:t>velocity; height; energy</w:t>
            </w:r>
          </w:p>
        </w:tc>
      </w:tr>
      <w:tr>
        <w:tc>
          <w:tcPr>
            <w:tcW w:type="dxa" w:w="3485"/>
          </w:tcPr>
          <w:p>
            <w:r>
              <w:t>HalfCheetah</w:t>
            </w:r>
          </w:p>
        </w:tc>
        <w:tc>
          <w:tcPr>
            <w:tcW w:type="dxa" w:w="3485"/>
          </w:tcPr>
          <w:p>
            <w:r>
              <w:t>mo-halfcheetah-v5</w:t>
            </w:r>
          </w:p>
        </w:tc>
        <w:tc>
          <w:tcPr>
            <w:tcW w:type="dxa" w:w="3485"/>
          </w:tcPr>
          <w:p>
            <w:r>
              <w:t>velocity; energy</w:t>
            </w:r>
          </w:p>
        </w:tc>
      </w:tr>
      <w:tr>
        <w:tc>
          <w:tcPr>
            <w:tcW w:type="dxa" w:w="3485"/>
          </w:tcPr>
          <w:p>
            <w:r>
              <w:t>Walker2D</w:t>
            </w:r>
          </w:p>
        </w:tc>
        <w:tc>
          <w:tcPr>
            <w:tcW w:type="dxa" w:w="3485"/>
          </w:tcPr>
          <w:p>
            <w:r>
              <w:t>mo-walker2d-v5</w:t>
            </w:r>
          </w:p>
        </w:tc>
        <w:tc>
          <w:tcPr>
            <w:tcW w:type="dxa" w:w="3485"/>
          </w:tcPr>
          <w:p>
            <w:r>
              <w:t>velocity; energy</w:t>
            </w:r>
          </w:p>
        </w:tc>
      </w:tr>
      <w:tr>
        <w:tc>
          <w:tcPr>
            <w:tcW w:type="dxa" w:w="3485"/>
          </w:tcPr>
          <w:p>
            <w:r>
              <w:t>Ant</w:t>
            </w:r>
          </w:p>
        </w:tc>
        <w:tc>
          <w:tcPr>
            <w:tcW w:type="dxa" w:w="3485"/>
          </w:tcPr>
          <w:p>
            <w:r>
              <w:t>mo-ant-v5, mo-ant-2obj-v5</w:t>
            </w:r>
          </w:p>
        </w:tc>
        <w:tc>
          <w:tcPr>
            <w:tcW w:type="dxa" w:w="3485"/>
          </w:tcPr>
          <w:p>
            <w:r>
              <w:t>x_velocity; y_velocity; energy</w:t>
            </w:r>
          </w:p>
        </w:tc>
      </w:tr>
      <w:tr>
        <w:tc>
          <w:tcPr>
            <w:tcW w:type="dxa" w:w="3485"/>
          </w:tcPr>
          <w:p>
            <w:r>
              <w:t>Swimmer</w:t>
            </w:r>
          </w:p>
        </w:tc>
        <w:tc>
          <w:tcPr>
            <w:tcW w:type="dxa" w:w="3485"/>
          </w:tcPr>
          <w:p>
            <w:r>
              <w:t>mo-swimmer-v5</w:t>
            </w:r>
          </w:p>
        </w:tc>
        <w:tc>
          <w:tcPr>
            <w:tcW w:type="dxa" w:w="3485"/>
          </w:tcPr>
          <w:p>
            <w:r>
              <w:t>velocity; energy</w:t>
            </w:r>
          </w:p>
        </w:tc>
      </w:tr>
      <w:tr>
        <w:tc>
          <w:tcPr>
            <w:tcW w:type="dxa" w:w="3485"/>
          </w:tcPr>
          <w:p>
            <w:r>
              <w:t>Humanoid</w:t>
            </w:r>
          </w:p>
        </w:tc>
        <w:tc>
          <w:tcPr>
            <w:tcW w:type="dxa" w:w="3485"/>
          </w:tcPr>
          <w:p>
            <w:r>
              <w:t>mo-humanoid-v5</w:t>
            </w:r>
          </w:p>
        </w:tc>
        <w:tc>
          <w:tcPr>
            <w:tcW w:type="dxa" w:w="3485"/>
          </w:tcPr>
          <w:p>
            <w:r>
              <w:t>velocity; energy</w:t>
            </w:r>
          </w:p>
        </w:tc>
      </w:tr>
    </w:tbl>
    <w:p>
      <w:pPr>
        <w:pStyle w:val="Heading1"/>
      </w:pPr>
      <w:r>
        <w:t>Frozen execution rule</w:t>
      </w:r>
    </w:p>
    <w:p>
      <w:pPr>
        <w:pStyle w:val="ListBullet"/>
      </w:pPr>
      <w:r>
        <w:t>Treat documented reward decomposition and registration semantics as the object under test; do not claim RL learning performance.</w:t>
      </w:r>
    </w:p>
    <w:p>
      <w:pPr>
        <w:pStyle w:val="ListBullet"/>
      </w:pPr>
      <w:r>
        <w:t>Where documentation supplies a linear scalarization that recovers the original Gymnasium reward, count that as positive scalar-containment evidence.</w:t>
      </w:r>
    </w:p>
    <w:p>
      <w:pPr>
        <w:pStyle w:val="ListBullet"/>
      </w:pPr>
      <w:r>
        <w:t>Where an environment exposes additional targets or directions, preserve them unless Domain Framing establishes a reduction.</w:t>
      </w:r>
    </w:p>
    <w:p>
      <w:pPr>
        <w:pStyle w:val="ListBullet"/>
      </w:pPr>
      <w:r>
        <w:t>No canonical PV-PP operator or state primitive may be added to rescue a benchmark result.</w:t>
      </w:r>
    </w:p>
    <w:p>
      <w:pPr>
        <w:pStyle w:val="ListBullet"/>
      </w:pPr>
      <w:r>
        <w:t>Because MuJoCo/Gymnasium are unavailable in the container, this tranche is a source-faithful mechanism/representation audit rather than a physics rollout.</w:t>
      </w:r>
    </w:p>
    <w:p>
      <w:pPr>
        <w:pStyle w:val="Heading1"/>
      </w:pPr>
      <w:r>
        <w:t>Primary public sources</w:t>
      </w:r>
    </w:p>
    <w:p>
      <w:r>
        <w:t>MO-Gymnasium MuJoCo documentation: https://mo-gymnasium.farama.org/environments/mujoco/</w:t>
        <w:br/>
        <w:t>MO-Gymnasium v1.3.x release notes/GitHub releases: https://github.com/Farama-Foundation/MO-Gymnasium/releases</w:t>
      </w:r>
    </w:p>
    <w:sectPr w:rsidR="00FC693F" w:rsidRPr="0006063C" w:rsidSect="00034616"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