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MO-Gymnasium Complete-Suite Benchmark Closeout v1.0</w:t>
      </w:r>
    </w:p>
    <w:p>
      <w:r>
        <w:t>PV-PP Public Benchmark Program | August 2026</w:t>
      </w:r>
    </w:p>
    <w:p>
      <w:pPr>
        <w:pStyle w:val="Heading1"/>
      </w:pPr>
      <w:r>
        <w:t>Status</w:t>
      </w:r>
    </w:p>
    <w:p>
      <w:r>
        <w:rPr>
          <w:b/>
        </w:rPr>
        <w:t>COMPLETE SUBJECT TO FINAL REGISTRY/SOURCE RECONCILIATION.</w:t>
      </w:r>
    </w:p>
    <w:p>
      <w:r>
        <w:t>All frozen environment families in the complete-suite charter have now received an execution or an explicit equivalence/source-mechanism disposition across Grid-World, Classic Control, Miscellaneous, and MuJoCo.</w:t>
      </w:r>
    </w:p>
    <w:p>
      <w:pPr>
        <w:pStyle w:val="Heading1"/>
      </w:pPr>
      <w:r>
        <w:t>MuJoCo completion</w:t>
      </w:r>
    </w:p>
    <w:p>
      <w:r>
        <w:t>The final phase covered 7 MuJoCo families and 9 current v5 registrations. No canonical PV-PP change was required.</w:t>
      </w:r>
    </w:p>
    <w:p>
      <w:pPr>
        <w:pStyle w:val="Heading1"/>
      </w:pPr>
      <w:r>
        <w:t>Program-wide result pattern</w:t>
      </w:r>
    </w:p>
    <w:p>
      <w:pPr>
        <w:pStyle w:val="ListBullet"/>
      </w:pPr>
      <w:r>
        <w:t>Scalar containment appears repeatedly where a stable linear mapping is known.</w:t>
      </w:r>
    </w:p>
    <w:p>
      <w:pPr>
        <w:pStyle w:val="ListBullet"/>
      </w:pPr>
      <w:r>
        <w:t>Nonconvex or threshold/adequacy cases preserve decision-relevant structure that ordinary fixed linear sums can miss.</w:t>
      </w:r>
    </w:p>
    <w:p>
      <w:pPr>
        <w:pStyle w:val="ListBullet"/>
      </w:pPr>
      <w:r>
        <w:t>Terminal failure, reversibility, state evidence, and source reliability can be structurally distinct from ordinary compensable reward.</w:t>
      </w:r>
    </w:p>
    <w:p>
      <w:pPr>
        <w:pStyle w:val="ListBullet"/>
      </w:pPr>
      <w:r>
        <w:t>No public benchmark completed to date has forced a new canonical PV-PP operator. One separate derived adversarial hardening test remains an acknowledged mixed/randomized-policy formalization boundary.</w:t>
      </w:r>
    </w:p>
    <w:p>
      <w:pPr>
        <w:pStyle w:val="Heading1"/>
      </w:pPr>
      <w:r>
        <w:t>Remaining administrative step</w:t>
      </w:r>
    </w:p>
    <w:p>
      <w:r>
        <w:t>Before publishing a literal “complete MO-Gymnasium suite” count, perform one final registry/source reconciliation against the frozen public package/version and record the exact number of families, registered variants, and equivalence-covered cases. No benchmark execution remains intentionally outstanding under the frozen sequence.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