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MO-Gymnasium Complete-Suite Benchmark Closeout - FINAL</w:t>
      </w:r>
    </w:p>
    <w:p>
      <w:r>
        <w:t>PV-PP Public Benchmark Program | August 2026</w:t>
      </w:r>
    </w:p>
    <w:p>
      <w:pPr>
        <w:pStyle w:val="Heading1"/>
      </w:pPr>
      <w:r>
        <w:t>Final status</w:t>
      </w:r>
    </w:p>
    <w:p>
      <w:r>
        <w:rPr>
          <w:b/>
        </w:rPr>
        <w:t>COMPLETE / CLOSED.</w:t>
      </w:r>
    </w:p>
    <w:p>
      <w:r>
        <w:t>Final registry/source reconciliation is complete. The frozen MO-Gymnasium v1.3.2 benchmark program covers 31 current registrations across Grid-World, Classic Control, Miscellaneous, and MuJoCo. No benchmark execution remains outstanding under the frozen charter.</w:t>
      </w:r>
    </w:p>
    <w:p>
      <w:pPr>
        <w:pStyle w:val="Heading1"/>
      </w:pPr>
      <w:r>
        <w:t>Coverage totals</w:t>
      </w:r>
    </w:p>
    <w:p>
      <w:pPr>
        <w:pStyle w:val="ListBullet"/>
      </w:pPr>
      <w:r>
        <w:t>Grid-World: 8 registrations.</w:t>
      </w:r>
    </w:p>
    <w:p>
      <w:pPr>
        <w:pStyle w:val="ListBullet"/>
      </w:pPr>
      <w:r>
        <w:t>Classic Control: 7 registrations.</w:t>
      </w:r>
    </w:p>
    <w:p>
      <w:pPr>
        <w:pStyle w:val="ListBullet"/>
      </w:pPr>
      <w:r>
        <w:t>Miscellaneous: 7 registrations.</w:t>
      </w:r>
    </w:p>
    <w:p>
      <w:pPr>
        <w:pStyle w:val="ListBullet"/>
      </w:pPr>
      <w:r>
        <w:t>MuJoCo: 9 registrations.</w:t>
      </w:r>
    </w:p>
    <w:p>
      <w:pPr>
        <w:pStyle w:val="ListBullet"/>
      </w:pPr>
      <w:r>
        <w:t>Total: 31 registrations.</w:t>
      </w:r>
    </w:p>
    <w:p>
      <w:pPr>
        <w:pStyle w:val="Heading1"/>
      </w:pPr>
      <w:r>
        <w:t>Architecture result</w:t>
      </w:r>
    </w:p>
    <w:p>
      <w:r>
        <w:t>Across the completed suite, no current public registration forced a new canonical PV-PP operator or state primitive. The benchmark record contains scalar-containment cases, Pareto/nonconvex linear non-recovery cases, threshold and adequacy cases, terminal-failure distinctions, reversibility/state-evidence cases, and source/reward-semantic boundaries. The architecture remained frozen throughout execution.</w:t>
      </w:r>
    </w:p>
    <w:p>
      <w:pPr>
        <w:pStyle w:val="Heading1"/>
      </w:pPr>
      <w:r>
        <w:t>Central benchmark conclusion</w:t>
      </w:r>
    </w:p>
    <w:p>
      <w:r>
        <w:t>The completed suite supports a conditional rather than ideological treatment of scalar reduction: preserve multidimensional structure until reduction is demonstrably safe; use scalar reduction where a stable mapping is known; retain explicit adequacy, terminal-state, or domain structure where weighted aggregation would erase a decision-relevant distinction.</w:t>
      </w:r>
    </w:p>
    <w:p>
      <w:pPr>
        <w:pStyle w:val="Heading1"/>
      </w:pPr>
      <w:r>
        <w:t>Important limits</w:t>
      </w:r>
    </w:p>
    <w:p>
      <w:pPr>
        <w:pStyle w:val="ListBullet"/>
      </w:pPr>
      <w:r>
        <w:t>This is not proof that PV-PP is optimal or superior to multi-objective reinforcement learning.</w:t>
      </w:r>
    </w:p>
    <w:p>
      <w:pPr>
        <w:pStyle w:val="ListBullet"/>
      </w:pPr>
      <w:r>
        <w:t>It is not a 31-environment trained-agent performance comparison; dependency-heavy cases retain source-faithful mechanism-audit qualifications.</w:t>
      </w:r>
    </w:p>
    <w:p>
      <w:pPr>
        <w:pStyle w:val="ListBullet"/>
      </w:pPr>
      <w:r>
        <w:t>Linear non-recovery findings concern the tested nonnegative weighted-sum forms and do not establish impossibility of every nonlinear scalar representation.</w:t>
      </w:r>
    </w:p>
    <w:p>
      <w:pPr>
        <w:pStyle w:val="ListBullet"/>
      </w:pPr>
      <w:r>
        <w:t>The separate PB-009H mixed/randomized-policy formalization boundary remains outside this MO-Gymnasium closeout and does not reopen the completed suite.</w:t>
      </w:r>
    </w:p>
    <w:p>
      <w:pPr>
        <w:pStyle w:val="Heading1"/>
      </w:pPr>
      <w:r>
        <w:t>Administrative disposition</w:t>
      </w:r>
    </w:p>
    <w:p>
      <w:r>
        <w:t>MO-Gymnasium complete-suite benchmark work is CLOSED. Any future work on this suite should be treated as a new versioned regression, replication, runtime-fidelity upgrade, or publication package rather than continuation of the closed execution program.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