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WHITE PAPER 3</w:t>
      </w:r>
    </w:p>
    <w:p>
      <w:pPr>
        <w:pStyle w:val="Title"/>
        <w:jc w:val="center"/>
      </w:pPr>
      <w:r>
        <w:t>Before You Build the Utility Function</w:t>
      </w:r>
    </w:p>
    <w:p>
      <w:pPr>
        <w:pStyle w:val="Subtitle"/>
        <w:jc w:val="center"/>
      </w:pPr>
      <w:r>
        <w:t>A Practical Test for Easy, Hard, and Impossible Scalarization</w:t>
      </w:r>
    </w:p>
    <w:p>
      <w:pPr>
        <w:jc w:val="center"/>
      </w:pPr>
      <w:r>
        <w:t>An architecture-selection guide for program managers, business owners, and decision-system teams</w:t>
      </w:r>
    </w:p>
    <w:p>
      <w:r/>
    </w:p>
    <w:p>
      <w:pPr>
        <w:jc w:val="center"/>
      </w:pPr>
      <w:r>
        <w:t>Series foundation: the publicly documented Productive Value-Productive Power (PV-PP) framework and the completed internal scalar-boundary analysis.</w:t>
      </w:r>
    </w:p>
    <w:p>
      <w:pPr>
        <w:jc w:val="center"/>
      </w:pPr>
      <w:r>
        <w:t>Development draft  |  Version 0.2  |  June 2026</w:t>
      </w:r>
    </w:p>
    <w:p>
      <w:r/>
    </w:p>
    <w:p>
      <w:pPr>
        <w:pStyle w:val="Heading1"/>
      </w:pPr>
      <w:r>
        <w:t>Executive summary</w:t>
      </w:r>
    </w:p>
    <w:p>
      <w:r>
        <w:t>White Paper 1 explained how AI agents move from simple rules and thresholds to scoring systems. White Paper 2 asked whether a score preserves the decision the organization actually intended. This paper turns those ideas into an architecture-selection test that can be used before a development team spends weeks tuning weights.</w:t>
      </w:r>
    </w:p>
    <w:p>
      <w:r>
        <w:t>The central question is not simply whether a utility function can be written. A score can almost always be written. The useful question is whether the proposed score, using the proposed inputs and permitted construction, can preserve the behavior that matters across the cases the agent will encounter.</w:t>
      </w:r>
    </w:p>
    <w:p>
      <w:r>
        <w:t>For practical design, scalarization falls into three operational categories. Easy scalarization occurs when one directly measured dimension preserves the ranking. Hard scalarization occurs when a score may still work, but only after adding nonlinear functions, piecewise rules, state variables, history, fitted parameters, or extensive exception logic. Impossible on the proposed route occurs when the retained inputs cannot reproduce the required behavior; the representation, inputs, or architecture must change.</w:t>
      </w:r>
    </w:p>
    <w:p>
      <w:r>
        <w:t>The third category does not mean that no mathematical function could ever reproduce the observed outputs. It means the proposed route cannot do so faithfully. A richer scalar route may restore representation, but that is a different design with different costs and dependencies.</w:t>
      </w:r>
    </w:p>
    <w:p>
      <w:r>
        <w:t>The Productive Value-Productive Power (PV-PP) framework provides a publicly documented structured alternative when the decision must preserve separate domains, governing constraints, changing state, history, or distinct forms of value. The PV-PP framework can still use scalar comparison inside portions of the decision where one score is valid. It does not require the score to carry the entire architecture.</w:t>
      </w:r>
    </w:p>
    <w:p>
      <w:r>
        <w:t>This paper gives program managers and business owners a way to decide among four paths: use a simple scalar, engineer a more complex scalar, enrich the representation, or move to a broader PV-PP architecture. It ends where White Paper 4 will begin: once the architecture choice is made, how should a PV-PP decision system be specified and implemented?</w:t>
      </w:r>
    </w:p>
    <w:p>
      <w:pPr>
        <w:pStyle w:val="Heading1"/>
      </w:pPr>
      <w:r>
        <w:t>1. Why architecture selection must come before weight tuning</w:t>
      </w:r>
    </w:p>
    <w:p>
      <w:r>
        <w:t>Many teams begin with a spreadsheet or prototype score. They choose factors, assign weights, compare outputs, and adjust the weights until the results look plausible. That process can improve a valid scalar model. It cannot repair a representation that omitted information the decision requires.</w:t>
      </w:r>
    </w:p>
    <w:p>
      <w:r>
        <w:t>Weight tuning answers a narrow question: given these inputs and this score structure, which parameter values produce acceptable results? Architecture selection asks the prior question: should these inputs be collapsed into one score at all?</w:t>
      </w:r>
    </w:p>
    <w:tbl>
      <w:tblPr>
        <w:tblStyle w:val="TableGrid"/>
        <w:tblW w:type="auto" w:w="0"/>
        <w:jc w:val="center"/>
        <w:tblLook w:firstColumn="1" w:firstRow="1" w:lastColumn="0" w:lastRow="0" w:noHBand="0" w:noVBand="1" w:val="04A0"/>
      </w:tblPr>
      <w:tblGrid>
        <w:gridCol w:w="9878"/>
      </w:tblGrid>
      <w:tr>
        <w:tc>
          <w:tcPr>
            <w:tcW w:type="dxa" w:w="9878"/>
            <w:shd w:fill="EEF3F8"/>
          </w:tcPr>
          <w:p>
            <w:r/>
            <w:r>
              <w:rPr>
                <w:b/>
              </w:rPr>
              <w:t>The order matters</w:t>
            </w:r>
            <w:r>
              <w:br/>
              <w:t>First determine whether the proposed representation can preserve the required behavior. Only then should the team optimize weights, thresholds, or fitted parameters.</w:t>
            </w:r>
          </w:p>
        </w:tc>
      </w:tr>
    </w:tbl>
    <w:p/>
    <w:p>
      <w:r>
        <w:t>For program managers, this distinction changes the acceptance review. A team should not be allowed to treat repeated weight adjustment as evidence that the underlying architecture is sound. Persistent exceptions, unstable penalties, and unexplained reversals may indicate that the model is being asked to compress structure it needs to preserve.</w:t>
      </w:r>
    </w:p>
    <w:p>
      <w:pPr>
        <w:pStyle w:val="Heading1"/>
      </w:pPr>
      <w:r>
        <w:t>2. The proposed route must be stated clearly</w:t>
      </w:r>
    </w:p>
    <w:p>
      <w:r>
        <w:t>A claim that a decision is scalarizable is incomplete unless the route is declared. At minimum, the review should identify:</w:t>
      </w:r>
    </w:p>
    <w:p>
      <w:pPr>
        <w:pStyle w:val="ListBullet"/>
      </w:pPr>
      <w:r>
        <w:t>Retained information: which facts, states, and historical records enter the model?</w:t>
      </w:r>
    </w:p>
    <w:p>
      <w:pPr>
        <w:pStyle w:val="ListBullet"/>
      </w:pPr>
      <w:r>
        <w:t>Permitted scalar construction: linear, nonlinear, piecewise, state-conditioned, history-dependent, or another defined class?</w:t>
      </w:r>
    </w:p>
    <w:p>
      <w:pPr>
        <w:pStyle w:val="ListBullet"/>
      </w:pPr>
      <w:r>
        <w:t>Required fidelity: must the model preserve only the winner, the full ranking, or the actual decision stages and constraints?</w:t>
      </w:r>
    </w:p>
    <w:p>
      <w:r>
        <w:t>The expected domain also matters. A formula that works for a fixed bounded set of cases may fail when costs, risks, or operating conditions move outside the range used during design. Likewise, a model that reproduces one decision cycle may fail after state or history changes.</w:t>
      </w:r>
    </w:p>
    <w:p>
      <w:r>
        <w:t>The phrase “impossible scalarization” should therefore be used carefully. This paper uses the narrower and more operational phrase “impossible on the proposed route.”</w:t>
      </w:r>
    </w:p>
    <w:p>
      <w:pPr>
        <w:pStyle w:val="Heading1"/>
      </w:pPr>
      <w:r>
        <w:t>3. Easy scalarization</w:t>
      </w:r>
    </w:p>
    <w:p>
      <w:r>
        <w:t>Easy scalarization occurs when one linear dimension directly preserves the required ranking over the declared domain. The score does not need to reconstruct hidden state, encode exceptions, or imitate a staged decision process. The measured quantity is already the relevant ordering variable.</w:t>
      </w:r>
    </w:p>
    <w:tbl>
      <w:tblPr>
        <w:tblStyle w:val="TableGrid"/>
        <w:tblW w:type="auto" w:w="0"/>
        <w:jc w:val="center"/>
        <w:tblLook w:firstColumn="1" w:firstRow="1" w:lastColumn="0" w:lastRow="0" w:noHBand="0" w:noVBand="1" w:val="04A0"/>
      </w:tblPr>
      <w:tblGrid>
        <w:gridCol w:w="3293"/>
        <w:gridCol w:w="3293"/>
        <w:gridCol w:w="3293"/>
      </w:tblGrid>
      <w:tr>
        <w:tc>
          <w:tcPr>
            <w:tcW w:type="dxa" w:w="1944"/>
            <w:vAlign w:val="center"/>
            <w:shd w:fill="D9E2F3"/>
          </w:tcPr>
          <w:p>
            <w:pPr>
              <w:spacing w:after="0"/>
            </w:pPr>
            <w:r/>
            <w:r>
              <w:rPr>
                <w:b/>
              </w:rPr>
              <w:t>Example</w:t>
            </w:r>
          </w:p>
        </w:tc>
        <w:tc>
          <w:tcPr>
            <w:tcW w:type="dxa" w:w="3744"/>
            <w:vAlign w:val="center"/>
            <w:shd w:fill="D9E2F3"/>
          </w:tcPr>
          <w:p>
            <w:pPr>
              <w:spacing w:after="0"/>
            </w:pPr>
            <w:r/>
            <w:r>
              <w:rPr>
                <w:b/>
              </w:rPr>
              <w:t>Decision</w:t>
            </w:r>
          </w:p>
        </w:tc>
        <w:tc>
          <w:tcPr>
            <w:tcW w:type="dxa" w:w="4464"/>
            <w:vAlign w:val="center"/>
            <w:shd w:fill="D9E2F3"/>
          </w:tcPr>
          <w:p>
            <w:pPr>
              <w:spacing w:after="0"/>
            </w:pPr>
            <w:r/>
            <w:r>
              <w:rPr>
                <w:b/>
              </w:rPr>
              <w:t>Why the scalar route is easy</w:t>
            </w:r>
          </w:p>
        </w:tc>
      </w:tr>
      <w:tr>
        <w:tc>
          <w:tcPr>
            <w:tcW w:type="dxa" w:w="1944"/>
            <w:vAlign w:val="center"/>
          </w:tcPr>
          <w:p>
            <w:pPr>
              <w:spacing w:after="0"/>
            </w:pPr>
            <w:r/>
            <w:r>
              <w:rPr>
                <w:b w:val="0"/>
              </w:rPr>
              <w:t>Verified purchase cost</w:t>
            </w:r>
          </w:p>
        </w:tc>
        <w:tc>
          <w:tcPr>
            <w:tcW w:type="dxa" w:w="3744"/>
            <w:vAlign w:val="center"/>
          </w:tcPr>
          <w:p>
            <w:pPr>
              <w:spacing w:after="0"/>
            </w:pPr>
            <w:r/>
            <w:r>
              <w:rPr>
                <w:b w:val="0"/>
              </w:rPr>
              <w:t>Choose the lowest-cost option when all other conditions are fixed and all options are admissible.</w:t>
            </w:r>
          </w:p>
        </w:tc>
        <w:tc>
          <w:tcPr>
            <w:tcW w:type="dxa" w:w="4464"/>
            <w:vAlign w:val="center"/>
          </w:tcPr>
          <w:p>
            <w:pPr>
              <w:spacing w:after="0"/>
            </w:pPr>
            <w:r/>
            <w:r>
              <w:rPr>
                <w:b w:val="0"/>
              </w:rPr>
              <w:t>Cost directly orders the alternatives.</w:t>
            </w:r>
          </w:p>
        </w:tc>
      </w:tr>
      <w:tr>
        <w:tc>
          <w:tcPr>
            <w:tcW w:type="dxa" w:w="1944"/>
            <w:vAlign w:val="center"/>
          </w:tcPr>
          <w:p>
            <w:pPr>
              <w:spacing w:after="0"/>
            </w:pPr>
            <w:r/>
            <w:r>
              <w:rPr>
                <w:b w:val="0"/>
              </w:rPr>
              <w:t>Route length</w:t>
            </w:r>
          </w:p>
        </w:tc>
        <w:tc>
          <w:tcPr>
            <w:tcW w:type="dxa" w:w="3744"/>
            <w:vAlign w:val="center"/>
          </w:tcPr>
          <w:p>
            <w:pPr>
              <w:spacing w:after="0"/>
            </w:pPr>
            <w:r/>
            <w:r>
              <w:rPr>
                <w:b w:val="0"/>
              </w:rPr>
              <w:t>Choose the shortest route when vehicle, road conditions, and delivery requirements are fixed.</w:t>
            </w:r>
          </w:p>
        </w:tc>
        <w:tc>
          <w:tcPr>
            <w:tcW w:type="dxa" w:w="4464"/>
            <w:vAlign w:val="center"/>
          </w:tcPr>
          <w:p>
            <w:pPr>
              <w:spacing w:after="0"/>
            </w:pPr>
            <w:r/>
            <w:r>
              <w:rPr>
                <w:b w:val="0"/>
              </w:rPr>
              <w:t>Distance directly preserves the intended ranking.</w:t>
            </w:r>
          </w:p>
        </w:tc>
      </w:tr>
      <w:tr>
        <w:tc>
          <w:tcPr>
            <w:tcW w:type="dxa" w:w="1944"/>
            <w:vAlign w:val="center"/>
          </w:tcPr>
          <w:p>
            <w:pPr>
              <w:spacing w:after="0"/>
            </w:pPr>
            <w:r/>
            <w:r>
              <w:rPr>
                <w:b w:val="0"/>
              </w:rPr>
              <w:t>Calibrated success probability</w:t>
            </w:r>
          </w:p>
        </w:tc>
        <w:tc>
          <w:tcPr>
            <w:tcW w:type="dxa" w:w="3744"/>
            <w:vAlign w:val="center"/>
          </w:tcPr>
          <w:p>
            <w:pPr>
              <w:spacing w:after="0"/>
            </w:pPr>
            <w:r/>
            <w:r>
              <w:rPr>
                <w:b w:val="0"/>
              </w:rPr>
              <w:t>Choose the option with the highest validated probability of success when consequences are equivalent.</w:t>
            </w:r>
          </w:p>
        </w:tc>
        <w:tc>
          <w:tcPr>
            <w:tcW w:type="dxa" w:w="4464"/>
            <w:vAlign w:val="center"/>
          </w:tcPr>
          <w:p>
            <w:pPr>
              <w:spacing w:after="0"/>
            </w:pPr>
            <w:r/>
            <w:r>
              <w:rPr>
                <w:b w:val="0"/>
              </w:rPr>
              <w:t>One calibrated measure directly represents preference.</w:t>
            </w:r>
          </w:p>
        </w:tc>
      </w:tr>
    </w:tbl>
    <w:p/>
    <w:p>
      <w:r>
        <w:t>An easy scalar model is not inferior because it is simple. It is the correct architecture when the business requirement is genuinely one-dimensional or when all other relevant conditions have already been resolved by valid gates.</w:t>
      </w:r>
    </w:p>
    <w:p>
      <w:r>
        <w:t>The acceptance burden is modest but still real. The organization must verify that the supposedly fixed conditions are actually fixed, that the alternatives are admissible, and that the measurement remains valid over the intended domain.</w:t>
      </w:r>
    </w:p>
    <w:p>
      <w:pPr>
        <w:pStyle w:val="Heading1"/>
      </w:pPr>
      <w:r>
        <w:t>4. Hard scalarization</w:t>
      </w:r>
    </w:p>
    <w:p>
      <w:r>
        <w:t>Hard scalarization occurs when a score may preserve the required behavior, but only after substantial engineering. The model may need nonlinear transformations, piecewise regions, fitted interaction terms, state-conditioned functions, or history-dependent adjustments.</w:t>
      </w:r>
    </w:p>
    <w:tbl>
      <w:tblPr>
        <w:tblStyle w:val="TableGrid"/>
        <w:tblW w:type="auto" w:w="0"/>
        <w:jc w:val="center"/>
        <w:tblLook w:firstColumn="1" w:firstRow="1" w:lastColumn="0" w:lastRow="0" w:noHBand="0" w:noVBand="1" w:val="04A0"/>
      </w:tblPr>
      <w:tblGrid>
        <w:gridCol w:w="3293"/>
        <w:gridCol w:w="3293"/>
        <w:gridCol w:w="3293"/>
      </w:tblGrid>
      <w:tr>
        <w:tc>
          <w:tcPr>
            <w:tcW w:type="dxa" w:w="2088"/>
            <w:vAlign w:val="center"/>
            <w:shd w:fill="D9E2F3"/>
          </w:tcPr>
          <w:p>
            <w:pPr>
              <w:spacing w:after="0"/>
            </w:pPr>
            <w:r/>
            <w:r>
              <w:rPr>
                <w:b/>
              </w:rPr>
              <w:t>Example</w:t>
            </w:r>
          </w:p>
        </w:tc>
        <w:tc>
          <w:tcPr>
            <w:tcW w:type="dxa" w:w="3960"/>
            <w:vAlign w:val="center"/>
            <w:shd w:fill="D9E2F3"/>
          </w:tcPr>
          <w:p>
            <w:pPr>
              <w:spacing w:after="0"/>
            </w:pPr>
            <w:r/>
            <w:r>
              <w:rPr>
                <w:b/>
              </w:rPr>
              <w:t>What makes it hard</w:t>
            </w:r>
          </w:p>
        </w:tc>
        <w:tc>
          <w:tcPr>
            <w:tcW w:type="dxa" w:w="4104"/>
            <w:vAlign w:val="center"/>
            <w:shd w:fill="D9E2F3"/>
          </w:tcPr>
          <w:p>
            <w:pPr>
              <w:spacing w:after="0"/>
            </w:pPr>
            <w:r/>
            <w:r>
              <w:rPr>
                <w:b/>
              </w:rPr>
              <w:t>Likely scalar construction</w:t>
            </w:r>
          </w:p>
        </w:tc>
      </w:tr>
      <w:tr>
        <w:tc>
          <w:tcPr>
            <w:tcW w:type="dxa" w:w="2088"/>
            <w:vAlign w:val="center"/>
          </w:tcPr>
          <w:p>
            <w:pPr>
              <w:spacing w:after="0"/>
            </w:pPr>
            <w:r/>
            <w:r>
              <w:rPr>
                <w:b w:val="0"/>
              </w:rPr>
              <w:t>Risk saturation</w:t>
            </w:r>
          </w:p>
        </w:tc>
        <w:tc>
          <w:tcPr>
            <w:tcW w:type="dxa" w:w="3960"/>
            <w:vAlign w:val="center"/>
          </w:tcPr>
          <w:p>
            <w:pPr>
              <w:spacing w:after="0"/>
            </w:pPr>
            <w:r/>
            <w:r>
              <w:rPr>
                <w:b w:val="0"/>
              </w:rPr>
              <w:t>A small increase in risk matters little at low levels but becomes decisive near a safety boundary.</w:t>
            </w:r>
          </w:p>
        </w:tc>
        <w:tc>
          <w:tcPr>
            <w:tcW w:type="dxa" w:w="4104"/>
            <w:vAlign w:val="center"/>
          </w:tcPr>
          <w:p>
            <w:pPr>
              <w:spacing w:after="0"/>
            </w:pPr>
            <w:r/>
            <w:r>
              <w:rPr>
                <w:b w:val="0"/>
              </w:rPr>
              <w:t>Nonlinear or piecewise risk function.</w:t>
            </w:r>
          </w:p>
        </w:tc>
      </w:tr>
      <w:tr>
        <w:tc>
          <w:tcPr>
            <w:tcW w:type="dxa" w:w="2088"/>
            <w:vAlign w:val="center"/>
          </w:tcPr>
          <w:p>
            <w:pPr>
              <w:spacing w:after="0"/>
            </w:pPr>
            <w:r/>
            <w:r>
              <w:rPr>
                <w:b w:val="0"/>
              </w:rPr>
              <w:t>Context-dependent reliability</w:t>
            </w:r>
          </w:p>
        </w:tc>
        <w:tc>
          <w:tcPr>
            <w:tcW w:type="dxa" w:w="3960"/>
            <w:vAlign w:val="center"/>
          </w:tcPr>
          <w:p>
            <w:pPr>
              <w:spacing w:after="0"/>
            </w:pPr>
            <w:r/>
            <w:r>
              <w:rPr>
                <w:b w:val="0"/>
              </w:rPr>
              <w:t>Reliability matters differently for routine shipments than for critical medical deliveries.</w:t>
            </w:r>
          </w:p>
        </w:tc>
        <w:tc>
          <w:tcPr>
            <w:tcW w:type="dxa" w:w="4104"/>
            <w:vAlign w:val="center"/>
          </w:tcPr>
          <w:p>
            <w:pPr>
              <w:spacing w:after="0"/>
            </w:pPr>
            <w:r/>
            <w:r>
              <w:rPr>
                <w:b w:val="0"/>
              </w:rPr>
              <w:t>Context-conditioned weights or separate scalar families.</w:t>
            </w:r>
          </w:p>
        </w:tc>
      </w:tr>
      <w:tr>
        <w:tc>
          <w:tcPr>
            <w:tcW w:type="dxa" w:w="2088"/>
            <w:vAlign w:val="center"/>
          </w:tcPr>
          <w:p>
            <w:pPr>
              <w:spacing w:after="0"/>
            </w:pPr>
            <w:r/>
            <w:r>
              <w:rPr>
                <w:b w:val="0"/>
              </w:rPr>
              <w:t>History-sensitive partner selection</w:t>
            </w:r>
          </w:p>
        </w:tc>
        <w:tc>
          <w:tcPr>
            <w:tcW w:type="dxa" w:w="3960"/>
            <w:vAlign w:val="center"/>
          </w:tcPr>
          <w:p>
            <w:pPr>
              <w:spacing w:after="0"/>
            </w:pPr>
            <w:r/>
            <w:r>
              <w:rPr>
                <w:b w:val="0"/>
              </w:rPr>
              <w:t>A recent failure, repeated failures, and verified recovery must affect the same partner differently.</w:t>
            </w:r>
          </w:p>
        </w:tc>
        <w:tc>
          <w:tcPr>
            <w:tcW w:type="dxa" w:w="4104"/>
            <w:vAlign w:val="center"/>
          </w:tcPr>
          <w:p>
            <w:pPr>
              <w:spacing w:after="0"/>
            </w:pPr>
            <w:r/>
            <w:r>
              <w:rPr>
                <w:b w:val="0"/>
              </w:rPr>
              <w:t>State and history variables with transition-dependent scoring.</w:t>
            </w:r>
          </w:p>
        </w:tc>
      </w:tr>
    </w:tbl>
    <w:p/>
    <w:p>
      <w:r>
        <w:t>None of these designs is invalid merely because it is nonlinear or complicated. The issue is engineering value. As more of the original decision architecture is rebuilt inside and around the score, the claimed simplicity of scalarization begins to disappear.</w:t>
      </w:r>
    </w:p>
    <w:p>
      <w:r>
        <w:t>A hard scalar model may still be the right choice when the team can specify it clearly, test it over the required domain, maintain it, and explain its behavior. But it should be approved as a complex stateful decision model, not sold as a simple weighted score.</w:t>
      </w:r>
    </w:p>
    <w:p>
      <w:pPr>
        <w:pStyle w:val="Heading1"/>
      </w:pPr>
      <w:r>
        <w:t>5. Impossible on the proposed route</w:t>
      </w:r>
    </w:p>
    <w:p>
      <w:r>
        <w:t>A proposed scalar route fails when the information available to the score cannot distinguish cases that require different outcomes. No amount of weight tuning can recover information that is absent from the representation.</w:t>
      </w:r>
    </w:p>
    <w:tbl>
      <w:tblPr>
        <w:tblStyle w:val="TableGrid"/>
        <w:tblW w:type="auto" w:w="0"/>
        <w:jc w:val="center"/>
        <w:tblLook w:firstColumn="1" w:firstRow="1" w:lastColumn="0" w:lastRow="0" w:noHBand="0" w:noVBand="1" w:val="04A0"/>
      </w:tblPr>
      <w:tblGrid>
        <w:gridCol w:w="3293"/>
        <w:gridCol w:w="3293"/>
        <w:gridCol w:w="3293"/>
      </w:tblGrid>
      <w:tr>
        <w:tc>
          <w:tcPr>
            <w:tcW w:type="dxa" w:w="2088"/>
            <w:vAlign w:val="center"/>
            <w:shd w:fill="D9E2F3"/>
          </w:tcPr>
          <w:p>
            <w:pPr>
              <w:spacing w:after="0"/>
            </w:pPr>
            <w:r/>
            <w:r>
              <w:rPr>
                <w:b/>
              </w:rPr>
              <w:t>Example</w:t>
            </w:r>
          </w:p>
        </w:tc>
        <w:tc>
          <w:tcPr>
            <w:tcW w:type="dxa" w:w="4104"/>
            <w:vAlign w:val="center"/>
            <w:shd w:fill="D9E2F3"/>
          </w:tcPr>
          <w:p>
            <w:pPr>
              <w:spacing w:after="0"/>
            </w:pPr>
            <w:r/>
            <w:r>
              <w:rPr>
                <w:b/>
              </w:rPr>
              <w:t>Failure in the proposed route</w:t>
            </w:r>
          </w:p>
        </w:tc>
        <w:tc>
          <w:tcPr>
            <w:tcW w:type="dxa" w:w="3960"/>
            <w:vAlign w:val="center"/>
            <w:shd w:fill="D9E2F3"/>
          </w:tcPr>
          <w:p>
            <w:pPr>
              <w:spacing w:after="0"/>
            </w:pPr>
            <w:r/>
            <w:r>
              <w:rPr>
                <w:b/>
              </w:rPr>
              <w:t>Required change</w:t>
            </w:r>
          </w:p>
        </w:tc>
      </w:tr>
      <w:tr>
        <w:tc>
          <w:tcPr>
            <w:tcW w:type="dxa" w:w="2088"/>
            <w:vAlign w:val="center"/>
          </w:tcPr>
          <w:p>
            <w:pPr>
              <w:spacing w:after="0"/>
            </w:pPr>
            <w:r/>
            <w:r>
              <w:rPr>
                <w:b w:val="0"/>
              </w:rPr>
              <w:t>Omitted state reverses the ranking</w:t>
            </w:r>
          </w:p>
        </w:tc>
        <w:tc>
          <w:tcPr>
            <w:tcW w:type="dxa" w:w="4104"/>
            <w:vAlign w:val="center"/>
          </w:tcPr>
          <w:p>
            <w:pPr>
              <w:spacing w:after="0"/>
            </w:pPr>
            <w:r/>
            <w:r>
              <w:rPr>
                <w:b w:val="0"/>
              </w:rPr>
              <w:t>Two carrier options have identical current score inputs, but one is under compliance suspension and the other is not.</w:t>
            </w:r>
          </w:p>
        </w:tc>
        <w:tc>
          <w:tcPr>
            <w:tcW w:type="dxa" w:w="3960"/>
            <w:vAlign w:val="center"/>
          </w:tcPr>
          <w:p>
            <w:pPr>
              <w:spacing w:after="0"/>
            </w:pPr>
            <w:r/>
            <w:r>
              <w:rPr>
                <w:b w:val="0"/>
              </w:rPr>
              <w:t>Add compliance state or place admissibility outside the score.</w:t>
            </w:r>
          </w:p>
        </w:tc>
      </w:tr>
      <w:tr>
        <w:tc>
          <w:tcPr>
            <w:tcW w:type="dxa" w:w="2088"/>
            <w:vAlign w:val="center"/>
          </w:tcPr>
          <w:p>
            <w:pPr>
              <w:spacing w:after="0"/>
            </w:pPr>
            <w:r/>
            <w:r>
              <w:rPr>
                <w:b w:val="0"/>
              </w:rPr>
              <w:t>Identical inputs require different outputs</w:t>
            </w:r>
          </w:p>
        </w:tc>
        <w:tc>
          <w:tcPr>
            <w:tcW w:type="dxa" w:w="4104"/>
            <w:vAlign w:val="center"/>
          </w:tcPr>
          <w:p>
            <w:pPr>
              <w:spacing w:after="0"/>
            </w:pPr>
            <w:r/>
            <w:r>
              <w:rPr>
                <w:b w:val="0"/>
              </w:rPr>
              <w:t>The same partner record must be accepted after verified remediation but rejected before remediation, while remediation status is omitted.</w:t>
            </w:r>
          </w:p>
        </w:tc>
        <w:tc>
          <w:tcPr>
            <w:tcW w:type="dxa" w:w="3960"/>
            <w:vAlign w:val="center"/>
          </w:tcPr>
          <w:p>
            <w:pPr>
              <w:spacing w:after="0"/>
            </w:pPr>
            <w:r/>
            <w:r>
              <w:rPr>
                <w:b w:val="0"/>
              </w:rPr>
              <w:t>Represent recovery state and relevant history.</w:t>
            </w:r>
          </w:p>
        </w:tc>
      </w:tr>
      <w:tr>
        <w:tc>
          <w:tcPr>
            <w:tcW w:type="dxa" w:w="2088"/>
            <w:vAlign w:val="center"/>
          </w:tcPr>
          <w:p>
            <w:pPr>
              <w:spacing w:after="0"/>
            </w:pPr>
            <w:r/>
            <w:r>
              <w:rPr>
                <w:b w:val="0"/>
              </w:rPr>
              <w:t>One score must both tie and separate</w:t>
            </w:r>
          </w:p>
        </w:tc>
        <w:tc>
          <w:tcPr>
            <w:tcW w:type="dxa" w:w="4104"/>
            <w:vAlign w:val="center"/>
          </w:tcPr>
          <w:p>
            <w:pPr>
              <w:spacing w:after="0"/>
            </w:pPr>
            <w:r/>
            <w:r>
              <w:rPr>
                <w:b w:val="0"/>
              </w:rPr>
              <w:t>A staged process treats two options as tied during admissibility but ranks them later for selection, while the proposed route exposes only one final scalar.</w:t>
            </w:r>
          </w:p>
        </w:tc>
        <w:tc>
          <w:tcPr>
            <w:tcW w:type="dxa" w:w="3960"/>
            <w:vAlign w:val="center"/>
          </w:tcPr>
          <w:p>
            <w:pPr>
              <w:spacing w:after="0"/>
            </w:pPr>
            <w:r/>
            <w:r>
              <w:rPr>
                <w:b w:val="0"/>
              </w:rPr>
              <w:t>Preserve the stages or enrich the representation.</w:t>
            </w:r>
          </w:p>
        </w:tc>
      </w:tr>
    </w:tbl>
    <w:p/>
    <w:p>
      <w:r>
        <w:t>The correct response is not to keep adjusting weights. The team must add the missing information, change the permitted scalar class, separate the decision into stages, or adopt a broader architecture.</w:t>
      </w:r>
    </w:p>
    <w:p>
      <w:r>
        <w:t>This is a route-specific conclusion. A sufficiently enriched scalar function may reproduce the behavior, but once state, history, gates, and stage structure are added, the organization has changed the model. It should evaluate that expanded architecture on its actual complexity rather than continuing to describe it as the original simple score.</w:t>
      </w:r>
    </w:p>
    <w:p>
      <w:pPr>
        <w:pStyle w:val="Heading1"/>
      </w:pPr>
      <w:r>
        <w:t>6. The scalar complexity budget</w:t>
      </w:r>
    </w:p>
    <w:p>
      <w:r>
        <w:t>A scalar model begins with an apparent advantage: one number is easy to compare, optimize, and integrate. That advantage should be treated as a budget. Every added mechanism spends part of it.</w:t>
      </w:r>
    </w:p>
    <w:tbl>
      <w:tblPr>
        <w:tblStyle w:val="TableGrid"/>
        <w:tblW w:type="auto" w:w="0"/>
        <w:jc w:val="center"/>
        <w:tblLook w:firstColumn="1" w:firstRow="1" w:lastColumn="0" w:lastRow="0" w:noHBand="0" w:noVBand="1" w:val="04A0"/>
      </w:tblPr>
      <w:tblGrid>
        <w:gridCol w:w="3293"/>
        <w:gridCol w:w="3293"/>
        <w:gridCol w:w="3293"/>
      </w:tblGrid>
      <w:tr>
        <w:tc>
          <w:tcPr>
            <w:tcW w:type="dxa" w:w="2376"/>
            <w:vAlign w:val="center"/>
            <w:shd w:fill="D9E2F3"/>
          </w:tcPr>
          <w:p>
            <w:pPr>
              <w:spacing w:after="0"/>
            </w:pPr>
            <w:r/>
            <w:r>
              <w:rPr>
                <w:b/>
              </w:rPr>
              <w:t>Complexity added</w:t>
            </w:r>
          </w:p>
        </w:tc>
        <w:tc>
          <w:tcPr>
            <w:tcW w:type="dxa" w:w="3744"/>
            <w:vAlign w:val="center"/>
            <w:shd w:fill="D9E2F3"/>
          </w:tcPr>
          <w:p>
            <w:pPr>
              <w:spacing w:after="0"/>
            </w:pPr>
            <w:r/>
            <w:r>
              <w:rPr>
                <w:b/>
              </w:rPr>
              <w:t>What it usually means</w:t>
            </w:r>
          </w:p>
        </w:tc>
        <w:tc>
          <w:tcPr>
            <w:tcW w:type="dxa" w:w="4032"/>
            <w:vAlign w:val="center"/>
            <w:shd w:fill="D9E2F3"/>
          </w:tcPr>
          <w:p>
            <w:pPr>
              <w:spacing w:after="0"/>
            </w:pPr>
            <w:r/>
            <w:r>
              <w:rPr>
                <w:b/>
              </w:rPr>
              <w:t>Management question</w:t>
            </w:r>
          </w:p>
        </w:tc>
      </w:tr>
      <w:tr>
        <w:tc>
          <w:tcPr>
            <w:tcW w:type="dxa" w:w="2376"/>
            <w:vAlign w:val="center"/>
          </w:tcPr>
          <w:p>
            <w:pPr>
              <w:spacing w:after="0"/>
            </w:pPr>
            <w:r/>
            <w:r>
              <w:rPr>
                <w:b w:val="0"/>
              </w:rPr>
              <w:t>More state variables</w:t>
            </w:r>
          </w:p>
        </w:tc>
        <w:tc>
          <w:tcPr>
            <w:tcW w:type="dxa" w:w="3744"/>
            <w:vAlign w:val="center"/>
          </w:tcPr>
          <w:p>
            <w:pPr>
              <w:spacing w:after="0"/>
            </w:pPr>
            <w:r/>
            <w:r>
              <w:rPr>
                <w:b w:val="0"/>
              </w:rPr>
              <w:t>The decision depends on changing context, not only current attributes.</w:t>
            </w:r>
          </w:p>
        </w:tc>
        <w:tc>
          <w:tcPr>
            <w:tcW w:type="dxa" w:w="4032"/>
            <w:vAlign w:val="center"/>
          </w:tcPr>
          <w:p>
            <w:pPr>
              <w:spacing w:after="0"/>
            </w:pPr>
            <w:r/>
            <w:r>
              <w:rPr>
                <w:b w:val="0"/>
              </w:rPr>
              <w:t>Who defines and validates the state transitions?</w:t>
            </w:r>
          </w:p>
        </w:tc>
      </w:tr>
      <w:tr>
        <w:tc>
          <w:tcPr>
            <w:tcW w:type="dxa" w:w="2376"/>
            <w:vAlign w:val="center"/>
          </w:tcPr>
          <w:p>
            <w:pPr>
              <w:spacing w:after="0"/>
            </w:pPr>
            <w:r/>
            <w:r>
              <w:rPr>
                <w:b w:val="0"/>
              </w:rPr>
              <w:t>More exceptions and gates</w:t>
            </w:r>
          </w:p>
        </w:tc>
        <w:tc>
          <w:tcPr>
            <w:tcW w:type="dxa" w:w="3744"/>
            <w:vAlign w:val="center"/>
          </w:tcPr>
          <w:p>
            <w:pPr>
              <w:spacing w:after="0"/>
            </w:pPr>
            <w:r/>
            <w:r>
              <w:rPr>
                <w:b w:val="0"/>
              </w:rPr>
              <w:t>Some dimensions are not fully compensable.</w:t>
            </w:r>
          </w:p>
        </w:tc>
        <w:tc>
          <w:tcPr>
            <w:tcW w:type="dxa" w:w="4032"/>
            <w:vAlign w:val="center"/>
          </w:tcPr>
          <w:p>
            <w:pPr>
              <w:spacing w:after="0"/>
            </w:pPr>
            <w:r/>
            <w:r>
              <w:rPr>
                <w:b w:val="0"/>
              </w:rPr>
              <w:t>Should these conditions remain outside the score?</w:t>
            </w:r>
          </w:p>
        </w:tc>
      </w:tr>
      <w:tr>
        <w:tc>
          <w:tcPr>
            <w:tcW w:type="dxa" w:w="2376"/>
            <w:vAlign w:val="center"/>
          </w:tcPr>
          <w:p>
            <w:pPr>
              <w:spacing w:after="0"/>
            </w:pPr>
            <w:r/>
            <w:r>
              <w:rPr>
                <w:b w:val="0"/>
              </w:rPr>
              <w:t>More recalibration and fitted interactions</w:t>
            </w:r>
          </w:p>
        </w:tc>
        <w:tc>
          <w:tcPr>
            <w:tcW w:type="dxa" w:w="3744"/>
            <w:vAlign w:val="center"/>
          </w:tcPr>
          <w:p>
            <w:pPr>
              <w:spacing w:after="0"/>
            </w:pPr>
            <w:r/>
            <w:r>
              <w:rPr>
                <w:b w:val="0"/>
              </w:rPr>
              <w:t>The score is sensitive to domain shifts and coupled factors.</w:t>
            </w:r>
          </w:p>
        </w:tc>
        <w:tc>
          <w:tcPr>
            <w:tcW w:type="dxa" w:w="4032"/>
            <w:vAlign w:val="center"/>
          </w:tcPr>
          <w:p>
            <w:pPr>
              <w:spacing w:after="0"/>
            </w:pPr>
            <w:r/>
            <w:r>
              <w:rPr>
                <w:b w:val="0"/>
              </w:rPr>
              <w:t>Can the organization maintain and audit it?</w:t>
            </w:r>
          </w:p>
        </w:tc>
      </w:tr>
    </w:tbl>
    <w:p/>
    <w:p>
      <w:r>
        <w:t>There is no universal numeric cutoff at which a scalar becomes too complicated. The warning sign is architectural dependence: the score no longer works without another system supplying admissibility, state, permissions, history, or stage information. At that point, the score is a component of a broader decision architecture whether the team acknowledges it or not.</w:t>
      </w:r>
    </w:p>
    <w:p>
      <w:pPr>
        <w:pStyle w:val="Heading1"/>
      </w:pPr>
      <w:r>
        <w:t>7. Stop-tuning triggers</w:t>
      </w:r>
    </w:p>
    <w:p>
      <w:r>
        <w:t>Program managers should pause weight tuning when the following patterns appear:</w:t>
      </w:r>
    </w:p>
    <w:p>
      <w:pPr>
        <w:pStyle w:val="ListBullet"/>
      </w:pPr>
      <w:r>
        <w:t>The same represented inputs repeatedly receive conflicting required labels or outcomes.</w:t>
      </w:r>
    </w:p>
    <w:p>
      <w:pPr>
        <w:pStyle w:val="ListBullet"/>
      </w:pPr>
      <w:r>
        <w:t>Penalties must be increased whenever the operating range expands, or hard requirements are violated by sufficiently attractive benefits elsewhere.</w:t>
      </w:r>
    </w:p>
    <w:p>
      <w:pPr>
        <w:pStyle w:val="ListBullet"/>
      </w:pPr>
      <w:r>
        <w:t>Exception branches, hidden state, or historical overrides grow faster than the core score can be explained and tested.</w:t>
      </w:r>
    </w:p>
    <w:p>
      <w:r>
        <w:t>These are not automatic proof that the scalar route is impossible. They are evidence that the route should be reclassified and reviewed before more effort is spent on parameter tuning.</w:t>
      </w:r>
    </w:p>
    <w:tbl>
      <w:tblPr>
        <w:tblStyle w:val="TableGrid"/>
        <w:tblW w:type="auto" w:w="0"/>
        <w:jc w:val="center"/>
        <w:tblLook w:firstColumn="1" w:firstRow="1" w:lastColumn="0" w:lastRow="0" w:noHBand="0" w:noVBand="1" w:val="04A0"/>
      </w:tblPr>
      <w:tblGrid>
        <w:gridCol w:w="9878"/>
      </w:tblGrid>
      <w:tr>
        <w:tc>
          <w:tcPr>
            <w:tcW w:type="dxa" w:w="9878"/>
            <w:shd w:fill="EEF3F8"/>
          </w:tcPr>
          <w:p>
            <w:r/>
            <w:r>
              <w:rPr>
                <w:b/>
              </w:rPr>
              <w:t>A practical stop rule</w:t>
            </w:r>
            <w:r>
              <w:br/>
              <w:t>Stop tuning when the next requested fix requires information or decision structure that the current score does not contain. At that point, revise the representation or architecture first.</w:t>
            </w:r>
          </w:p>
        </w:tc>
      </w:tr>
    </w:tbl>
    <w:p/>
    <w:p>
      <w:pPr>
        <w:pStyle w:val="Heading1"/>
      </w:pPr>
      <w:r>
        <w:t>8. The architecture-selection test</w:t>
      </w:r>
    </w:p>
    <w:p>
      <w:r>
        <w:t>The following sequence can be used during requirements review or design approval.</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080"/>
            <w:vAlign w:val="center"/>
            <w:shd w:fill="D9E2F3"/>
          </w:tcPr>
          <w:p>
            <w:pPr>
              <w:spacing w:after="0"/>
            </w:pPr>
            <w:r/>
            <w:r>
              <w:rPr>
                <w:b/>
              </w:rPr>
              <w:t>Test</w:t>
            </w:r>
          </w:p>
        </w:tc>
        <w:tc>
          <w:tcPr>
            <w:tcW w:type="dxa" w:w="3816"/>
            <w:vAlign w:val="center"/>
            <w:shd w:fill="D9E2F3"/>
          </w:tcPr>
          <w:p>
            <w:pPr>
              <w:spacing w:after="0"/>
            </w:pPr>
            <w:r/>
            <w:r>
              <w:rPr>
                <w:b/>
              </w:rPr>
              <w:t>Question</w:t>
            </w:r>
          </w:p>
        </w:tc>
        <w:tc>
          <w:tcPr>
            <w:tcW w:type="dxa" w:w="2592"/>
            <w:vAlign w:val="center"/>
            <w:shd w:fill="D9E2F3"/>
          </w:tcPr>
          <w:p>
            <w:pPr>
              <w:spacing w:after="0"/>
            </w:pPr>
            <w:r/>
            <w:r>
              <w:rPr>
                <w:b/>
              </w:rPr>
              <w:t>If yes</w:t>
            </w:r>
          </w:p>
        </w:tc>
        <w:tc>
          <w:tcPr>
            <w:tcW w:type="dxa" w:w="2592"/>
            <w:vAlign w:val="center"/>
            <w:shd w:fill="D9E2F3"/>
          </w:tcPr>
          <w:p>
            <w:pPr>
              <w:spacing w:after="0"/>
            </w:pPr>
            <w:r/>
            <w:r>
              <w:rPr>
                <w:b/>
              </w:rPr>
              <w:t>If no</w:t>
            </w:r>
          </w:p>
        </w:tc>
      </w:tr>
      <w:tr>
        <w:tc>
          <w:tcPr>
            <w:tcW w:type="dxa" w:w="1080"/>
            <w:vAlign w:val="center"/>
          </w:tcPr>
          <w:p>
            <w:pPr>
              <w:spacing w:after="0"/>
            </w:pPr>
            <w:r/>
            <w:r>
              <w:rPr>
                <w:b w:val="0"/>
              </w:rPr>
              <w:t>1. Direct ordering</w:t>
            </w:r>
          </w:p>
        </w:tc>
        <w:tc>
          <w:tcPr>
            <w:tcW w:type="dxa" w:w="3816"/>
            <w:vAlign w:val="center"/>
          </w:tcPr>
          <w:p>
            <w:pPr>
              <w:spacing w:after="0"/>
            </w:pPr>
            <w:r/>
            <w:r>
              <w:rPr>
                <w:b w:val="0"/>
              </w:rPr>
              <w:t>Does one measured dimension preserve the required ranking over the intended domain?</w:t>
            </w:r>
          </w:p>
        </w:tc>
        <w:tc>
          <w:tcPr>
            <w:tcW w:type="dxa" w:w="2592"/>
            <w:vAlign w:val="center"/>
          </w:tcPr>
          <w:p>
            <w:pPr>
              <w:spacing w:after="0"/>
            </w:pPr>
            <w:r/>
            <w:r>
              <w:rPr>
                <w:b w:val="0"/>
              </w:rPr>
              <w:t>Use an easy scalar, subject to validation.</w:t>
            </w:r>
          </w:p>
        </w:tc>
        <w:tc>
          <w:tcPr>
            <w:tcW w:type="dxa" w:w="2592"/>
            <w:vAlign w:val="center"/>
          </w:tcPr>
          <w:p>
            <w:pPr>
              <w:spacing w:after="0"/>
            </w:pPr>
            <w:r/>
            <w:r>
              <w:rPr>
                <w:b w:val="0"/>
              </w:rPr>
              <w:t>Continue.</w:t>
            </w:r>
          </w:p>
        </w:tc>
      </w:tr>
      <w:tr>
        <w:tc>
          <w:tcPr>
            <w:tcW w:type="dxa" w:w="1080"/>
            <w:vAlign w:val="center"/>
          </w:tcPr>
          <w:p>
            <w:pPr>
              <w:spacing w:after="0"/>
            </w:pPr>
            <w:r/>
            <w:r>
              <w:rPr>
                <w:b w:val="0"/>
              </w:rPr>
              <w:t>2. Enriched scalar</w:t>
            </w:r>
          </w:p>
        </w:tc>
        <w:tc>
          <w:tcPr>
            <w:tcW w:type="dxa" w:w="3816"/>
            <w:vAlign w:val="center"/>
          </w:tcPr>
          <w:p>
            <w:pPr>
              <w:spacing w:after="0"/>
            </w:pPr>
            <w:r/>
            <w:r>
              <w:rPr>
                <w:b w:val="0"/>
              </w:rPr>
              <w:t>Can a defined nonlinear, piecewise, state-conditioned, or history-dependent scalar preserve the requirement at acceptable cost?</w:t>
            </w:r>
          </w:p>
        </w:tc>
        <w:tc>
          <w:tcPr>
            <w:tcW w:type="dxa" w:w="2592"/>
            <w:vAlign w:val="center"/>
          </w:tcPr>
          <w:p>
            <w:pPr>
              <w:spacing w:after="0"/>
            </w:pPr>
            <w:r/>
            <w:r>
              <w:rPr>
                <w:b w:val="0"/>
              </w:rPr>
              <w:t>Use a hard scalar and document the complexity.</w:t>
            </w:r>
          </w:p>
        </w:tc>
        <w:tc>
          <w:tcPr>
            <w:tcW w:type="dxa" w:w="2592"/>
            <w:vAlign w:val="center"/>
          </w:tcPr>
          <w:p>
            <w:pPr>
              <w:spacing w:after="0"/>
            </w:pPr>
            <w:r/>
            <w:r>
              <w:rPr>
                <w:b w:val="0"/>
              </w:rPr>
              <w:t>Continue.</w:t>
            </w:r>
          </w:p>
        </w:tc>
      </w:tr>
      <w:tr>
        <w:tc>
          <w:tcPr>
            <w:tcW w:type="dxa" w:w="1080"/>
            <w:vAlign w:val="center"/>
          </w:tcPr>
          <w:p>
            <w:pPr>
              <w:spacing w:after="0"/>
            </w:pPr>
            <w:r/>
            <w:r>
              <w:rPr>
                <w:b w:val="0"/>
              </w:rPr>
              <w:t>3. Representation adequacy</w:t>
            </w:r>
          </w:p>
        </w:tc>
        <w:tc>
          <w:tcPr>
            <w:tcW w:type="dxa" w:w="3816"/>
            <w:vAlign w:val="center"/>
          </w:tcPr>
          <w:p>
            <w:pPr>
              <w:spacing w:after="0"/>
            </w:pPr>
            <w:r/>
            <w:r>
              <w:rPr>
                <w:b w:val="0"/>
              </w:rPr>
              <w:t>Do the proposed inputs distinguish every case that requires a different result?</w:t>
            </w:r>
          </w:p>
        </w:tc>
        <w:tc>
          <w:tcPr>
            <w:tcW w:type="dxa" w:w="2592"/>
            <w:vAlign w:val="center"/>
          </w:tcPr>
          <w:p>
            <w:pPr>
              <w:spacing w:after="0"/>
            </w:pPr>
            <w:r/>
            <w:r>
              <w:rPr>
                <w:b w:val="0"/>
              </w:rPr>
              <w:t>Continue to fidelity review.</w:t>
            </w:r>
          </w:p>
        </w:tc>
        <w:tc>
          <w:tcPr>
            <w:tcW w:type="dxa" w:w="2592"/>
            <w:vAlign w:val="center"/>
          </w:tcPr>
          <w:p>
            <w:pPr>
              <w:spacing w:after="0"/>
            </w:pPr>
            <w:r/>
            <w:r>
              <w:rPr>
                <w:b w:val="0"/>
              </w:rPr>
              <w:t>Enrich inputs or change architecture.</w:t>
            </w:r>
          </w:p>
        </w:tc>
      </w:tr>
      <w:tr>
        <w:tc>
          <w:tcPr>
            <w:tcW w:type="dxa" w:w="1080"/>
            <w:vAlign w:val="center"/>
          </w:tcPr>
          <w:p>
            <w:pPr>
              <w:spacing w:after="0"/>
            </w:pPr>
            <w:r/>
            <w:r>
              <w:rPr>
                <w:b w:val="0"/>
              </w:rPr>
              <w:t>4. Structural fidelity</w:t>
            </w:r>
          </w:p>
        </w:tc>
        <w:tc>
          <w:tcPr>
            <w:tcW w:type="dxa" w:w="3816"/>
            <w:vAlign w:val="center"/>
          </w:tcPr>
          <w:p>
            <w:pPr>
              <w:spacing w:after="0"/>
            </w:pPr>
            <w:r/>
            <w:r>
              <w:rPr>
                <w:b w:val="0"/>
              </w:rPr>
              <w:t>Must the system preserve gates, stages, state transitions, or non-compensable domains rather than only the winner?</w:t>
            </w:r>
          </w:p>
        </w:tc>
        <w:tc>
          <w:tcPr>
            <w:tcW w:type="dxa" w:w="2592"/>
            <w:vAlign w:val="center"/>
          </w:tcPr>
          <w:p>
            <w:pPr>
              <w:spacing w:after="0"/>
            </w:pPr>
            <w:r/>
            <w:r>
              <w:rPr>
                <w:b w:val="0"/>
              </w:rPr>
              <w:t>Use a broader structured architecture, potentially with scalar modules inside it.</w:t>
            </w:r>
          </w:p>
        </w:tc>
        <w:tc>
          <w:tcPr>
            <w:tcW w:type="dxa" w:w="2592"/>
            <w:vAlign w:val="center"/>
          </w:tcPr>
          <w:p>
            <w:pPr>
              <w:spacing w:after="0"/>
            </w:pPr>
            <w:r/>
            <w:r>
              <w:rPr>
                <w:b w:val="0"/>
              </w:rPr>
              <w:t>A scalar output model may be sufficient.</w:t>
            </w:r>
          </w:p>
        </w:tc>
      </w:tr>
    </w:tbl>
    <w:p/>
    <w:p>
      <w:r>
        <w:t>The decision is therefore not binary. Teams have four legitimate paths:</w:t>
      </w:r>
    </w:p>
    <w:p>
      <w:pPr>
        <w:pStyle w:val="ListBullet"/>
      </w:pPr>
      <w:r>
        <w:t>Use a simple scalar where one dimension faithfully preserves the decision.</w:t>
      </w:r>
    </w:p>
    <w:p>
      <w:pPr>
        <w:pStyle w:val="ListBullet"/>
      </w:pPr>
      <w:r>
        <w:t>Engineer a complex scalar where the added construction is justified and maintainable.</w:t>
      </w:r>
    </w:p>
    <w:p>
      <w:pPr>
        <w:pStyle w:val="ListBullet"/>
      </w:pPr>
      <w:r>
        <w:t>Enrich the representation when required information is missing.</w:t>
      </w:r>
    </w:p>
    <w:p>
      <w:pPr>
        <w:pStyle w:val="ListBullet"/>
      </w:pPr>
      <w:r>
        <w:t>Adopt a hybrid structured architecture or a PV-PP architecture when distinct domains, state, history, constraints, or stages must remain explicit.</w:t>
      </w:r>
    </w:p>
    <w:p>
      <w:pPr>
        <w:pStyle w:val="Heading1"/>
      </w:pPr>
      <w:r>
        <w:t>9. Where the PV-PP framework enters</w:t>
      </w:r>
    </w:p>
    <w:p>
      <w:r>
        <w:t>The PV-PP framework is not a ban on scores. It is a broader architecture in which scalar aggregation can be used where it is valid while other decision structure remains explicit.</w:t>
      </w:r>
    </w:p>
    <w:p>
      <w:r>
        <w:t>For example, a carrier-selection system may first determine whether each carrier is admissible, then identify the current operating state, then compare the remaining carriers on compensatory factors such as cost and estimated delivery time. A scalar score may be entirely appropriate in that final comparison stage. It should not be asked to conceal compliance suspension, recovery state, or other governing conditions inside a penalty unless that representation is genuinely intended and stable.</w:t>
      </w:r>
    </w:p>
    <w:p>
      <w:r>
        <w:t>The PV-PP framework also does not discover missing domains automatically. Designers must still identify relevant conditions. Its advantage is architectural: once those conditions are identified, they can remain separate as governing, compensatory, or state-forming elements instead of being forced into one undifferentiated score.</w:t>
      </w:r>
    </w:p>
    <w:p>
      <w:r>
        <w:t>The framework is publicly documented through explanations, worked examples, demonstrations, developer documentation, and executable implementations. Since the June 2026 draft of this paper, the PV-PP Runtime API has reached Runtime Interface Freeze 1 at v0.70, with a frozen common runtime interface, regression testing, and a native reference application. Broader framework publication and controlled release of proof materials remain ongoing; the scalar-boundary technical work has not yet received independent external peer review.</w:t>
      </w:r>
    </w:p>
    <w:p>
      <w:pPr>
        <w:pStyle w:val="Heading1"/>
      </w:pPr>
      <w:r>
        <w:t>10. What this paper does not yet provide</w:t>
      </w:r>
    </w:p>
    <w:p>
      <w:r>
        <w:t>This paper tells a team when to remain with a scalar route and when to move beyond it. It does not yet provide the complete method for designing a PV-PP decision system.</w:t>
      </w:r>
    </w:p>
    <w:p>
      <w:r>
        <w:t>That method must begin with business requirements and proceed through decision definition, alternatives, domains, domain roles, thresholds, state transitions, Productive Value, Productive Power, history, decision stages, executable artifacts, and conformance tests. Subsequent PV-PP work has substantially formalized these concerns in the frozen v0.70 Runtime API and associated developer documentation. White Paper 4 remains useful as a bounded design guide, but its June 2026 implementation-status discussion requires updating to reflect that later runtime work.</w:t>
      </w:r>
    </w:p>
    <w:p>
      <w:r>
        <w:t>White Paper 4 addresses implementation at a bounded level. It explains how to move from a business decision to a structured PV-PP specification before generating JSON, schemas, runtime rules, or test cases. Its publication version should be read together with the later frozen Runtime API, which now provides an executable common interface beyond the implementation status available when the original June draft was written. Tooling may assist with conversion and validation, but it should not invent the decision architecture.</w:t>
      </w:r>
    </w:p>
    <w:p>
      <w:pPr>
        <w:pStyle w:val="Heading1"/>
      </w:pPr>
      <w:r>
        <w:t>11. Program-manager worksheet</w:t>
      </w:r>
    </w:p>
    <w:p>
      <w:r>
        <w:t>Before approving a utility function or scoring model, record concise answers to the following questions:</w:t>
      </w:r>
    </w:p>
    <w:tbl>
      <w:tblPr>
        <w:tblStyle w:val="TableGrid"/>
        <w:tblW w:type="auto" w:w="0"/>
        <w:jc w:val="center"/>
        <w:tblLook w:firstColumn="1" w:firstRow="1" w:lastColumn="0" w:lastRow="0" w:noHBand="0" w:noVBand="1" w:val="04A0"/>
      </w:tblPr>
      <w:tblGrid>
        <w:gridCol w:w="4939"/>
        <w:gridCol w:w="4939"/>
      </w:tblGrid>
      <w:tr>
        <w:tc>
          <w:tcPr>
            <w:tcW w:type="dxa" w:w="1944"/>
            <w:vAlign w:val="center"/>
            <w:shd w:fill="D9E2F3"/>
          </w:tcPr>
          <w:p>
            <w:pPr>
              <w:spacing w:after="0"/>
            </w:pPr>
            <w:r/>
            <w:r>
              <w:rPr>
                <w:b/>
              </w:rPr>
              <w:t>Review area</w:t>
            </w:r>
          </w:p>
        </w:tc>
        <w:tc>
          <w:tcPr>
            <w:tcW w:type="dxa" w:w="8424"/>
            <w:vAlign w:val="center"/>
            <w:shd w:fill="D9E2F3"/>
          </w:tcPr>
          <w:p>
            <w:pPr>
              <w:spacing w:after="0"/>
            </w:pPr>
            <w:r/>
            <w:r>
              <w:rPr>
                <w:b/>
              </w:rPr>
              <w:t>Required answer</w:t>
            </w:r>
          </w:p>
        </w:tc>
      </w:tr>
      <w:tr>
        <w:tc>
          <w:tcPr>
            <w:tcW w:type="dxa" w:w="1944"/>
            <w:vAlign w:val="center"/>
          </w:tcPr>
          <w:p>
            <w:pPr>
              <w:spacing w:after="0"/>
            </w:pPr>
            <w:r/>
            <w:r>
              <w:rPr>
                <w:b w:val="0"/>
              </w:rPr>
              <w:t>Decision</w:t>
            </w:r>
          </w:p>
        </w:tc>
        <w:tc>
          <w:tcPr>
            <w:tcW w:type="dxa" w:w="8424"/>
            <w:vAlign w:val="center"/>
          </w:tcPr>
          <w:p>
            <w:pPr>
              <w:spacing w:after="0"/>
            </w:pPr>
            <w:r/>
            <w:r>
              <w:rPr>
                <w:b w:val="0"/>
              </w:rPr>
              <w:t>What exact decision or action is the agent authorized to make?</w:t>
            </w:r>
          </w:p>
        </w:tc>
      </w:tr>
      <w:tr>
        <w:tc>
          <w:tcPr>
            <w:tcW w:type="dxa" w:w="1944"/>
            <w:vAlign w:val="center"/>
          </w:tcPr>
          <w:p>
            <w:pPr>
              <w:spacing w:after="0"/>
            </w:pPr>
            <w:r/>
            <w:r>
              <w:rPr>
                <w:b w:val="0"/>
              </w:rPr>
              <w:t>Representation</w:t>
            </w:r>
          </w:p>
        </w:tc>
        <w:tc>
          <w:tcPr>
            <w:tcW w:type="dxa" w:w="8424"/>
            <w:vAlign w:val="center"/>
          </w:tcPr>
          <w:p>
            <w:pPr>
              <w:spacing w:after="0"/>
            </w:pPr>
            <w:r/>
            <w:r>
              <w:rPr>
                <w:b w:val="0"/>
              </w:rPr>
              <w:t>Which facts, states, constraints, and historical records enter the model?</w:t>
            </w:r>
          </w:p>
        </w:tc>
      </w:tr>
      <w:tr>
        <w:tc>
          <w:tcPr>
            <w:tcW w:type="dxa" w:w="1944"/>
            <w:vAlign w:val="center"/>
          </w:tcPr>
          <w:p>
            <w:pPr>
              <w:spacing w:after="0"/>
            </w:pPr>
            <w:r/>
            <w:r>
              <w:rPr>
                <w:b w:val="0"/>
              </w:rPr>
              <w:t>Compensation</w:t>
            </w:r>
          </w:p>
        </w:tc>
        <w:tc>
          <w:tcPr>
            <w:tcW w:type="dxa" w:w="8424"/>
            <w:vAlign w:val="center"/>
          </w:tcPr>
          <w:p>
            <w:pPr>
              <w:spacing w:after="0"/>
            </w:pPr>
            <w:r/>
            <w:r>
              <w:rPr>
                <w:b w:val="0"/>
              </w:rPr>
              <w:t>Which considerations may offset one another, and which may not?</w:t>
            </w:r>
          </w:p>
        </w:tc>
      </w:tr>
      <w:tr>
        <w:tc>
          <w:tcPr>
            <w:tcW w:type="dxa" w:w="1944"/>
            <w:vAlign w:val="center"/>
          </w:tcPr>
          <w:p>
            <w:pPr>
              <w:spacing w:after="0"/>
            </w:pPr>
            <w:r/>
            <w:r>
              <w:rPr>
                <w:b w:val="0"/>
              </w:rPr>
              <w:t>Fidelity</w:t>
            </w:r>
          </w:p>
        </w:tc>
        <w:tc>
          <w:tcPr>
            <w:tcW w:type="dxa" w:w="8424"/>
            <w:vAlign w:val="center"/>
          </w:tcPr>
          <w:p>
            <w:pPr>
              <w:spacing w:after="0"/>
            </w:pPr>
            <w:r/>
            <w:r>
              <w:rPr>
                <w:b w:val="0"/>
              </w:rPr>
              <w:t>Must the model preserve the winner, ranking, stages, reasons, or all of these?</w:t>
            </w:r>
          </w:p>
        </w:tc>
      </w:tr>
      <w:tr>
        <w:tc>
          <w:tcPr>
            <w:tcW w:type="dxa" w:w="1944"/>
            <w:vAlign w:val="center"/>
          </w:tcPr>
          <w:p>
            <w:pPr>
              <w:spacing w:after="0"/>
            </w:pPr>
            <w:r/>
            <w:r>
              <w:rPr>
                <w:b w:val="0"/>
              </w:rPr>
              <w:t>Domain</w:t>
            </w:r>
          </w:p>
        </w:tc>
        <w:tc>
          <w:tcPr>
            <w:tcW w:type="dxa" w:w="8424"/>
            <w:vAlign w:val="center"/>
          </w:tcPr>
          <w:p>
            <w:pPr>
              <w:spacing w:after="0"/>
            </w:pPr>
            <w:r/>
            <w:r>
              <w:rPr>
                <w:b w:val="0"/>
              </w:rPr>
              <w:t>Over which operating conditions and ranges must the model remain valid?</w:t>
            </w:r>
          </w:p>
        </w:tc>
      </w:tr>
      <w:tr>
        <w:tc>
          <w:tcPr>
            <w:tcW w:type="dxa" w:w="1944"/>
            <w:vAlign w:val="center"/>
          </w:tcPr>
          <w:p>
            <w:pPr>
              <w:spacing w:after="0"/>
            </w:pPr>
            <w:r/>
            <w:r>
              <w:rPr>
                <w:b w:val="0"/>
              </w:rPr>
              <w:t>Complexity</w:t>
            </w:r>
          </w:p>
        </w:tc>
        <w:tc>
          <w:tcPr>
            <w:tcW w:type="dxa" w:w="8424"/>
            <w:vAlign w:val="center"/>
          </w:tcPr>
          <w:p>
            <w:pPr>
              <w:spacing w:after="0"/>
            </w:pPr>
            <w:r/>
            <w:r>
              <w:rPr>
                <w:b w:val="0"/>
              </w:rPr>
              <w:t>What nonlinear rules, state variables, history, exceptions, or recalibration are required?</w:t>
            </w:r>
          </w:p>
        </w:tc>
      </w:tr>
      <w:tr>
        <w:tc>
          <w:tcPr>
            <w:tcW w:type="dxa" w:w="1944"/>
            <w:vAlign w:val="center"/>
          </w:tcPr>
          <w:p>
            <w:pPr>
              <w:spacing w:after="0"/>
            </w:pPr>
            <w:r/>
            <w:r>
              <w:rPr>
                <w:b w:val="0"/>
              </w:rPr>
              <w:t>Choice</w:t>
            </w:r>
          </w:p>
        </w:tc>
        <w:tc>
          <w:tcPr>
            <w:tcW w:type="dxa" w:w="8424"/>
            <w:vAlign w:val="center"/>
          </w:tcPr>
          <w:p>
            <w:pPr>
              <w:spacing w:after="0"/>
            </w:pPr>
            <w:r/>
            <w:r>
              <w:rPr>
                <w:b w:val="0"/>
              </w:rPr>
              <w:t>Is the approved route a simple scalar, complex scalar, enriched representation, or PV-PP architecture?</w:t>
            </w:r>
          </w:p>
        </w:tc>
      </w:tr>
    </w:tbl>
    <w:p/>
    <w:p>
      <w:r>
        <w:t>A model should not move into implementation merely because it produces an answer. It should move forward only when the organization understands what kind of architecture is producing that answer and why that architecture matches the delegated decision.</w:t>
      </w:r>
    </w:p>
    <w:p>
      <w:pPr>
        <w:pStyle w:val="Heading1"/>
      </w:pPr>
      <w:r>
        <w:t>Conclusion</w:t>
      </w:r>
    </w:p>
    <w:p>
      <w:r>
        <w:t>Scalar aggregation is often useful. The mistake is to assume that every decision should be forced into a simple score before testing whether the score can preserve the required behavior.</w:t>
      </w:r>
    </w:p>
    <w:p>
      <w:r>
        <w:t>Easy scalarization should remain easy. Hard scalarization should be acknowledged and governed as complex engineering. A route that lacks required information should be changed rather than endlessly tuned. When separate domains, governing conditions, state, history, or stages must remain visible, the organization should use an enriched scalar, a hybrid structured architecture, or the PV-PP framework according to the actual requirement. The PV-PP framework remains the broader publicly documented structured alternative and can still use scalar modules where they belong.</w:t>
      </w:r>
    </w:p>
    <w:p>
      <w:r>
        <w:t>The next paper will move from architecture selection to implementation: how a program manager and development team can specify a PV-PP decision system in a form that can be reviewed, tested, and eventually executed.</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Productive Value-Productive Power (PV-PP) framework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PV-PP SCALAR AGGREGATION WHITE PAPER SERIES  |  WHITE PAPER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F547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7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85C6E"/>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Build the Utility Function</dc:title>
  <dc:subject>A Practical Test for Easy, Hard, and Impossible Scalarization</dc:subject>
  <dc:creator>Lance Amundsen</dc:creator>
  <cp:keywords>PV-PP, scalar aggregation, utility function, AI agents, architecture selection</cp:keywords>
  <dc:description>generated by python-docx</dc:description>
  <cp:lastModifiedBy/>
  <cp:revision>1</cp:revision>
  <dcterms:created xsi:type="dcterms:W3CDTF">2013-12-23T23:15:00Z</dcterms:created>
  <dcterms:modified xsi:type="dcterms:W3CDTF">2013-12-23T23:15:00Z</dcterms:modified>
  <cp:category/>
</cp:coreProperties>
</file>