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Design a PV-PP Decision System</w:t>
      </w:r>
    </w:p>
    <w:p>
      <w:pPr>
        <w:pStyle w:val="Subtitle"/>
        <w:jc w:val="center"/>
      </w:pPr>
      <w:r>
        <w:t>From Business Rules to Structured Governance, Sidecar Control, and Runtime Execution</w:t>
      </w:r>
    </w:p>
    <w:p>
      <w:pPr>
        <w:jc w:val="center"/>
      </w:pPr>
      <w:r>
        <w:rPr>
          <w:b/>
          <w:color w:val="2E74B5"/>
          <w:sz w:val="21"/>
        </w:rPr>
        <w:t>White Paper 4 of the PV-PP Scalar Aggregation White Paper Series</w:t>
      </w:r>
    </w:p>
    <w:tbl>
      <w:tblPr>
        <w:tblStyle w:val="TableGrid"/>
        <w:tblW w:type="auto" w:w="0"/>
        <w:jc w:val="center"/>
        <w:tblLayout w:type="fixed"/>
        <w:tblLook w:firstColumn="1" w:firstRow="1" w:lastColumn="0" w:lastRow="0" w:noHBand="0" w:noVBand="1" w:val="04A0"/>
      </w:tblPr>
      <w:tblGrid>
        <w:gridCol w:w="1944"/>
        <w:gridCol w:w="7920"/>
      </w:tblGrid>
      <w:tr>
        <w:tc>
          <w:tcPr>
            <w:tcW w:type="dxa" w:w="4939"/>
            <w:vAlign w:val="center"/>
            <w:shd w:fill="D9EAF7"/>
          </w:tcPr>
          <w:p>
            <w:pPr>
              <w:spacing w:after="0"/>
            </w:pPr>
            <w:r/>
            <w:r>
              <w:rPr>
                <w:rFonts w:ascii="Aptos" w:hAnsi="Aptos"/>
                <w:b/>
                <w:color w:val="1F374E"/>
                <w:sz w:val="18"/>
              </w:rPr>
              <w:t>Version</w:t>
            </w:r>
          </w:p>
        </w:tc>
        <w:tc>
          <w:tcPr>
            <w:tcW w:type="dxa" w:w="4939"/>
            <w:vAlign w:val="center"/>
          </w:tcPr>
          <w:p>
            <w:r>
              <w:t>v0.2</w:t>
            </w:r>
          </w:p>
        </w:tc>
      </w:tr>
      <w:tr>
        <w:tc>
          <w:tcPr>
            <w:tcW w:type="dxa" w:w="4939"/>
            <w:vAlign w:val="center"/>
            <w:shd w:fill="D9EAF7"/>
          </w:tcPr>
          <w:p>
            <w:pPr>
              <w:spacing w:after="0"/>
            </w:pPr>
            <w:r/>
            <w:r>
              <w:rPr>
                <w:rFonts w:ascii="Aptos" w:hAnsi="Aptos"/>
                <w:b/>
                <w:color w:val="1F374E"/>
                <w:sz w:val="18"/>
              </w:rPr>
              <w:t>Status</w:t>
            </w:r>
          </w:p>
        </w:tc>
        <w:tc>
          <w:tcPr>
            <w:tcW w:type="dxa" w:w="4939"/>
            <w:vAlign w:val="center"/>
          </w:tcPr>
          <w:p>
            <w:r>
              <w:t>Second-pass working draft for internal review</w:t>
            </w:r>
          </w:p>
        </w:tc>
      </w:tr>
      <w:tr>
        <w:tc>
          <w:tcPr>
            <w:tcW w:type="dxa" w:w="4939"/>
            <w:vAlign w:val="center"/>
            <w:shd w:fill="D9EAF7"/>
          </w:tcPr>
          <w:p>
            <w:pPr>
              <w:spacing w:after="0"/>
            </w:pPr>
            <w:r/>
            <w:r>
              <w:rPr>
                <w:rFonts w:ascii="Aptos" w:hAnsi="Aptos"/>
                <w:b/>
                <w:color w:val="1F374E"/>
                <w:sz w:val="18"/>
              </w:rPr>
              <w:t>Scope</w:t>
            </w:r>
          </w:p>
        </w:tc>
        <w:tc>
          <w:tcPr>
            <w:tcW w:type="dxa" w:w="4939"/>
            <w:vAlign w:val="center"/>
          </w:tcPr>
          <w:p>
            <w:pPr>
              <w:spacing w:after="0"/>
            </w:pPr>
            <w:r/>
            <w:r>
              <w:rPr>
                <w:rFonts w:ascii="Aptos" w:hAnsi="Aptos"/>
                <w:b w:val="0"/>
                <w:sz w:val="18"/>
              </w:rPr>
              <w:t>Bounded design and deployment method; inline runtime remains a target architecture</w:t>
            </w:r>
          </w:p>
        </w:tc>
      </w:tr>
    </w:tbl>
    <w:p>
      <w:pPr>
        <w:pStyle w:val="Callout"/>
      </w:pPr>
      <w:r>
        <w:t>This paper describes a bounded implementation path for PV-PP decision systems and has been updated to reflect subsequent runtime work. Since the June 2026 draft, the PV-PP Runtime API has reached Runtime Interface Freeze 1 at v0.70. The runtime now provides a frozen common interface for executable PV-PP decision applications, supported by regression testing, developer documentation, and a native reference application.</w:t>
      </w:r>
    </w:p>
    <w:p>
      <w:pPr>
        <w:pStyle w:val="Heading1"/>
        <w:keepNext/>
        <w:keepLines/>
      </w:pPr>
      <w:r>
        <w:t>Executive Summary</w:t>
      </w:r>
    </w:p>
    <w:p>
      <w:r>
        <w:t>The first three papers in this series explained how AI agents make decisions, when a single score faithfully represents those decisions, and when teams should stop tuning weights and choose a broader architecture. This paper addresses the next question: what does an organization actually do after deciding that a structured decision architecture is required?</w:t>
      </w:r>
    </w:p>
    <w:p>
      <w:r>
        <w:t>The Productive Value-Productive Power (PV-PP) framework provides a way to preserve distinct decision domains, governing conditions, state changes, history, evidence requirements, and comparative scoring without forcing all of them into one number. The framework is publicly documented through explanatory materials, developer documentation, worked examples, and executable implementations. The PV-PP Runtime API has reached Runtime Interface Freeze 1 at v0.70; broader framework publication and controlled release of proof materials remain ongoing.</w:t>
      </w:r>
    </w:p>
    <w:p>
      <w:r>
        <w:t>The implementation path described here begins with a bounded business decision, not with software. The organization identifies the action to be governed, the source rules, the relevant domains, the evidence required, the conditions that block or redirect the action, and the factors that may legitimately be compared. Only then are those requirements translated into structured artifacts, tests, and executable controls.</w:t>
      </w:r>
    </w:p>
    <w:p>
      <w:r>
        <w:t>Three deployment forms remain useful for understanding implementation maturity: offline compilation, sidecar governance, and inline runtime governance. Offline and sidecar approaches remain valid integration patterns. Since the original draft, however, inline runtime execution is no longer merely a proposed architecture: the frozen v0.70 Runtime API provides a common executable interface for live PV-PP decision cycles. Application-specific persistence, event ingestion, and external-system integration remain responsibilities of the host application.</w:t>
      </w:r>
    </w:p>
    <w:p>
      <w:r>
        <w:t>The practical recommendation remains conservative: start with one bounded decision surface, make the governing structure explicit, build reproducible tests and receipts, and add live integration only where it is needed. A generative model can assist with extraction and artifact production, but it should not be allowed to invent the organization’s decision architecture.</w:t>
      </w:r>
    </w:p>
    <w:p>
      <w:pPr>
        <w:pStyle w:val="Heading1"/>
        <w:keepNext/>
        <w:keepLines/>
      </w:pPr>
      <w:r>
        <w:t>1. The Implementation Question</w:t>
      </w:r>
    </w:p>
    <w:p>
      <w:r>
        <w:t>Once a team decides that one score is not enough, it may be tempted to replace the score with a large collection of rules. That does not automatically produce a coherent architecture. Rules may conflict, apply at different stages, depend on different evidence, or change after prior events. The design problem is therefore not simply to collect more rules. It is to organize them into an executable decision structure.</w:t>
      </w:r>
    </w:p>
    <w:p>
      <w:r>
        <w:t>A PV-PP decision system should answer five questions:</w:t>
      </w:r>
    </w:p>
    <w:p>
      <w:pPr>
        <w:pStyle w:val="ListBullet"/>
        <w:spacing w:after="40"/>
      </w:pPr>
      <w:r>
        <w:t>What action is the system considering?</w:t>
      </w:r>
    </w:p>
    <w:p>
      <w:pPr>
        <w:pStyle w:val="ListBullet"/>
        <w:spacing w:after="40"/>
      </w:pPr>
      <w:r>
        <w:t>Which conditions determine whether that action is even admissible?</w:t>
      </w:r>
    </w:p>
    <w:p>
      <w:pPr>
        <w:pStyle w:val="ListBullet"/>
        <w:spacing w:after="40"/>
      </w:pPr>
      <w:r>
        <w:t>Which conditions determine the current decision state or governing path?</w:t>
      </w:r>
    </w:p>
    <w:p>
      <w:pPr>
        <w:pStyle w:val="ListBullet"/>
        <w:spacing w:after="40"/>
      </w:pPr>
      <w:r>
        <w:t>Which remaining factors may be compared or scored?</w:t>
      </w:r>
    </w:p>
    <w:p>
      <w:pPr>
        <w:pStyle w:val="ListBullet"/>
        <w:spacing w:after="40"/>
      </w:pPr>
      <w:r>
        <w:t>What must be recorded and updated after the action occurs?</w:t>
      </w:r>
    </w:p>
    <w:p>
      <w:pPr>
        <w:pStyle w:val="Callout"/>
      </w:pPr>
      <w:r>
        <w:t>If those questions are unresolved, producing JSON or connecting a custom GPT does not solve the underlying problem. It only gives an unresolved problem a machine-readable form.</w:t>
      </w:r>
    </w:p>
    <w:p>
      <w:pPr>
        <w:pStyle w:val="Heading1"/>
        <w:keepNext/>
        <w:keepLines/>
      </w:pPr>
      <w:r>
        <w:t>2. Begin With One Bounded Decision Surface</w:t>
      </w:r>
    </w:p>
    <w:p>
      <w:r>
        <w:t>The smallest useful unit of implementation is a bounded decision surface: one clearly stated decision, a known set of possible actions, and a declared operating context.</w:t>
      </w:r>
    </w:p>
    <w:p>
      <w:r>
        <w:t>For example, a claims organization might define the decision as:</w:t>
      </w:r>
    </w:p>
    <w:p>
      <w:pPr>
        <w:pStyle w:val="Callout"/>
      </w:pPr>
      <w:r>
        <w:t>May the claims agent authorize a replacement shipment to an address that differs from the verified address already associated with the claim?</w:t>
      </w:r>
    </w:p>
    <w:p>
      <w:r>
        <w:t>That statement is narrow enough to identify evidence, rules, exceptions, and outcomes. “Govern claims handling” is not. Broad objectives should be decomposed until each decision can be specified and tested independently.</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shd w:fill="1F4E78"/>
          </w:tcPr>
          <w:p>
            <w:pPr>
              <w:spacing w:after="0"/>
            </w:pPr>
            <w:r/>
            <w:r>
              <w:rPr>
                <w:rFonts w:ascii="Aptos" w:hAnsi="Aptos"/>
                <w:b/>
                <w:color w:val="FFFFFF"/>
                <w:sz w:val="18"/>
              </w:rPr>
              <w:t>Design element</w:t>
            </w:r>
          </w:p>
        </w:tc>
        <w:tc>
          <w:tcPr>
            <w:tcW w:type="dxa" w:w="3293"/>
            <w:vAlign w:val="center"/>
            <w:shd w:fill="1F4E78"/>
          </w:tcPr>
          <w:p>
            <w:pPr>
              <w:spacing w:after="0"/>
            </w:pPr>
            <w:r/>
            <w:r>
              <w:rPr>
                <w:rFonts w:ascii="Aptos" w:hAnsi="Aptos"/>
                <w:b/>
                <w:color w:val="FFFFFF"/>
                <w:sz w:val="18"/>
              </w:rPr>
              <w:t>Question</w:t>
            </w:r>
          </w:p>
        </w:tc>
        <w:tc>
          <w:tcPr>
            <w:tcW w:type="dxa" w:w="3293"/>
            <w:vAlign w:val="center"/>
            <w:shd w:fill="1F4E78"/>
          </w:tcPr>
          <w:p>
            <w:pPr>
              <w:spacing w:after="0"/>
            </w:pPr>
            <w:r/>
            <w:r>
              <w:rPr>
                <w:rFonts w:ascii="Aptos" w:hAnsi="Aptos"/>
                <w:b/>
                <w:color w:val="FFFFFF"/>
                <w:sz w:val="18"/>
              </w:rPr>
              <w:t>Example</w:t>
            </w:r>
          </w:p>
        </w:tc>
      </w:tr>
      <w:tr>
        <w:tc>
          <w:tcPr>
            <w:tcW w:type="dxa" w:w="3293"/>
            <w:vAlign w:val="center"/>
          </w:tcPr>
          <w:p>
            <w:pPr>
              <w:spacing w:after="0"/>
            </w:pPr>
            <w:r/>
            <w:r>
              <w:rPr>
                <w:rFonts w:ascii="Aptos" w:hAnsi="Aptos"/>
                <w:b w:val="0"/>
                <w:sz w:val="18"/>
              </w:rPr>
              <w:t>Decision</w:t>
            </w:r>
          </w:p>
        </w:tc>
        <w:tc>
          <w:tcPr>
            <w:tcW w:type="dxa" w:w="3293"/>
            <w:vAlign w:val="center"/>
          </w:tcPr>
          <w:p>
            <w:pPr>
              <w:spacing w:after="0"/>
            </w:pPr>
            <w:r/>
            <w:r>
              <w:rPr>
                <w:rFonts w:ascii="Aptos" w:hAnsi="Aptos"/>
                <w:b w:val="0"/>
                <w:sz w:val="18"/>
              </w:rPr>
              <w:t>What is being decided?</w:t>
            </w:r>
          </w:p>
        </w:tc>
        <w:tc>
          <w:tcPr>
            <w:tcW w:type="dxa" w:w="3293"/>
            <w:vAlign w:val="center"/>
          </w:tcPr>
          <w:p>
            <w:pPr>
              <w:spacing w:after="0"/>
            </w:pPr>
            <w:r/>
            <w:r>
              <w:rPr>
                <w:rFonts w:ascii="Aptos" w:hAnsi="Aptos"/>
                <w:b w:val="0"/>
                <w:sz w:val="18"/>
              </w:rPr>
              <w:t>Authorize replacement shipment</w:t>
            </w:r>
          </w:p>
        </w:tc>
      </w:tr>
      <w:tr>
        <w:tc>
          <w:tcPr>
            <w:tcW w:type="dxa" w:w="3293"/>
            <w:vAlign w:val="center"/>
          </w:tcPr>
          <w:p>
            <w:pPr>
              <w:spacing w:after="0"/>
            </w:pPr>
            <w:r/>
            <w:r>
              <w:rPr>
                <w:rFonts w:ascii="Aptos" w:hAnsi="Aptos"/>
                <w:b w:val="0"/>
                <w:sz w:val="18"/>
              </w:rPr>
              <w:t>Actions</w:t>
            </w:r>
          </w:p>
        </w:tc>
        <w:tc>
          <w:tcPr>
            <w:tcW w:type="dxa" w:w="3293"/>
            <w:vAlign w:val="center"/>
          </w:tcPr>
          <w:p>
            <w:pPr>
              <w:spacing w:after="0"/>
            </w:pPr>
            <w:r/>
            <w:r>
              <w:rPr>
                <w:rFonts w:ascii="Aptos" w:hAnsi="Aptos"/>
                <w:b w:val="0"/>
                <w:sz w:val="18"/>
              </w:rPr>
              <w:t>What may the system do?</w:t>
            </w:r>
          </w:p>
        </w:tc>
        <w:tc>
          <w:tcPr>
            <w:tcW w:type="dxa" w:w="3293"/>
            <w:vAlign w:val="center"/>
          </w:tcPr>
          <w:p>
            <w:pPr>
              <w:spacing w:after="0"/>
            </w:pPr>
            <w:r/>
            <w:r>
              <w:rPr>
                <w:rFonts w:ascii="Aptos" w:hAnsi="Aptos"/>
                <w:b w:val="0"/>
                <w:sz w:val="18"/>
              </w:rPr>
              <w:t>Approve, refuse, or escalate</w:t>
            </w:r>
          </w:p>
        </w:tc>
      </w:tr>
      <w:tr>
        <w:tc>
          <w:tcPr>
            <w:tcW w:type="dxa" w:w="3293"/>
            <w:vAlign w:val="center"/>
          </w:tcPr>
          <w:p>
            <w:pPr>
              <w:spacing w:after="0"/>
            </w:pPr>
            <w:r/>
            <w:r>
              <w:rPr>
                <w:rFonts w:ascii="Aptos" w:hAnsi="Aptos"/>
                <w:b w:val="0"/>
                <w:sz w:val="18"/>
              </w:rPr>
              <w:t>Context</w:t>
            </w:r>
          </w:p>
        </w:tc>
        <w:tc>
          <w:tcPr>
            <w:tcW w:type="dxa" w:w="3293"/>
            <w:vAlign w:val="center"/>
          </w:tcPr>
          <w:p>
            <w:pPr>
              <w:spacing w:after="0"/>
            </w:pPr>
            <w:r/>
            <w:r>
              <w:rPr>
                <w:rFonts w:ascii="Aptos" w:hAnsi="Aptos"/>
                <w:b w:val="0"/>
                <w:sz w:val="18"/>
              </w:rPr>
              <w:t>Where does the rule apply?</w:t>
            </w:r>
          </w:p>
        </w:tc>
        <w:tc>
          <w:tcPr>
            <w:tcW w:type="dxa" w:w="3293"/>
            <w:vAlign w:val="center"/>
          </w:tcPr>
          <w:p>
            <w:pPr>
              <w:spacing w:after="0"/>
            </w:pPr>
            <w:r/>
            <w:r>
              <w:rPr>
                <w:rFonts w:ascii="Aptos" w:hAnsi="Aptos"/>
                <w:b w:val="0"/>
                <w:sz w:val="18"/>
              </w:rPr>
              <w:t>Claim with changed delivery address</w:t>
            </w:r>
          </w:p>
        </w:tc>
      </w:tr>
      <w:tr>
        <w:tc>
          <w:tcPr>
            <w:tcW w:type="dxa" w:w="3293"/>
            <w:vAlign w:val="center"/>
          </w:tcPr>
          <w:p>
            <w:pPr>
              <w:spacing w:after="0"/>
            </w:pPr>
            <w:r/>
            <w:r>
              <w:rPr>
                <w:rFonts w:ascii="Aptos" w:hAnsi="Aptos"/>
                <w:b w:val="0"/>
                <w:sz w:val="18"/>
              </w:rPr>
              <w:t>Outcome</w:t>
            </w:r>
          </w:p>
        </w:tc>
        <w:tc>
          <w:tcPr>
            <w:tcW w:type="dxa" w:w="3293"/>
            <w:vAlign w:val="center"/>
          </w:tcPr>
          <w:p>
            <w:pPr>
              <w:spacing w:after="0"/>
            </w:pPr>
            <w:r/>
            <w:r>
              <w:rPr>
                <w:rFonts w:ascii="Aptos" w:hAnsi="Aptos"/>
                <w:b w:val="0"/>
                <w:sz w:val="18"/>
              </w:rPr>
              <w:t>What result must be recorded?</w:t>
            </w:r>
          </w:p>
        </w:tc>
        <w:tc>
          <w:tcPr>
            <w:tcW w:type="dxa" w:w="3293"/>
            <w:vAlign w:val="center"/>
          </w:tcPr>
          <w:p>
            <w:pPr>
              <w:spacing w:after="0"/>
            </w:pPr>
            <w:r/>
            <w:r>
              <w:rPr>
                <w:rFonts w:ascii="Aptos" w:hAnsi="Aptos"/>
                <w:b w:val="0"/>
                <w:sz w:val="18"/>
              </w:rPr>
              <w:t>Decision, reason, evidence, state update</w:t>
            </w:r>
          </w:p>
        </w:tc>
      </w:tr>
    </w:tbl>
    <w:p>
      <w:pPr>
        <w:pStyle w:val="Heading1"/>
        <w:keepNext/>
        <w:keepLines/>
      </w:pPr>
      <w:r>
        <w:t>3. Gather the Organization’s Actual Decision Sources</w:t>
      </w:r>
    </w:p>
    <w:p>
      <w:r>
        <w:t>The decision architecture should be derived from the organization’s authoritative materials, not from the PV-PP reference materials and not from the language model’s general knowledge. Relevant sources may include policy documents, procedures, contractual commitments, regulatory obligations, and approved exception practices.</w:t>
      </w:r>
    </w:p>
    <w:p>
      <w:r>
        <w:t>The first extraction pass should identify three things:</w:t>
      </w:r>
    </w:p>
    <w:p>
      <w:pPr>
        <w:pStyle w:val="ListBullet"/>
        <w:spacing w:after="40"/>
      </w:pPr>
      <w:r>
        <w:t>Explicit requirements: conditions the source materials clearly impose.</w:t>
      </w:r>
    </w:p>
    <w:p>
      <w:pPr>
        <w:pStyle w:val="ListBullet"/>
        <w:spacing w:after="40"/>
      </w:pPr>
      <w:r>
        <w:t>Conflicts or gaps: places where two sources disagree or no source resolves the decision.</w:t>
      </w:r>
    </w:p>
    <w:p>
      <w:pPr>
        <w:pStyle w:val="ListBullet"/>
        <w:spacing w:after="40"/>
      </w:pPr>
      <w:r>
        <w:t>Operational assumptions: practices that staff follow but that are not formally documented.</w:t>
      </w:r>
    </w:p>
    <w:p>
      <w:r>
        <w:t>A custom GPT or other model can accelerate this work, but it must preserve provenance. Every extracted requirement should point back to its source or be marked as an unresolved interpretation. The model may propose questions; it should not silently convert ambiguity into policy.</w:t>
      </w:r>
    </w:p>
    <w:p>
      <w:pPr>
        <w:pStyle w:val="Heading1"/>
        <w:keepNext/>
        <w:keepLines/>
      </w:pPr>
      <w:r>
        <w:t>4. Extract the Decision Architecture Before Producing Code</w:t>
      </w:r>
    </w:p>
    <w:p>
      <w:r>
        <w:t>The central design step is to convert source materials into a structured account of how the decision must work. This is more than rule extraction. Each condition must be classified by the role it plays in the decision.</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shd w:fill="1F4E78"/>
          </w:tcPr>
          <w:p>
            <w:pPr>
              <w:spacing w:after="0"/>
            </w:pPr>
            <w:r/>
            <w:r>
              <w:rPr>
                <w:rFonts w:ascii="Aptos" w:hAnsi="Aptos"/>
                <w:b/>
                <w:color w:val="FFFFFF"/>
                <w:sz w:val="18"/>
              </w:rPr>
              <w:t>Condition role</w:t>
            </w:r>
          </w:p>
        </w:tc>
        <w:tc>
          <w:tcPr>
            <w:tcW w:type="dxa" w:w="3293"/>
            <w:vAlign w:val="center"/>
            <w:shd w:fill="1F4E78"/>
          </w:tcPr>
          <w:p>
            <w:pPr>
              <w:spacing w:after="0"/>
            </w:pPr>
            <w:r/>
            <w:r>
              <w:rPr>
                <w:rFonts w:ascii="Aptos" w:hAnsi="Aptos"/>
                <w:b/>
                <w:color w:val="FFFFFF"/>
                <w:sz w:val="18"/>
              </w:rPr>
              <w:t>Operational meaning</w:t>
            </w:r>
          </w:p>
        </w:tc>
        <w:tc>
          <w:tcPr>
            <w:tcW w:type="dxa" w:w="3293"/>
            <w:vAlign w:val="center"/>
            <w:shd w:fill="1F4E78"/>
          </w:tcPr>
          <w:p>
            <w:pPr>
              <w:spacing w:after="0"/>
            </w:pPr>
            <w:r/>
            <w:r>
              <w:rPr>
                <w:rFonts w:ascii="Aptos" w:hAnsi="Aptos"/>
                <w:b/>
                <w:color w:val="FFFFFF"/>
                <w:sz w:val="18"/>
              </w:rPr>
              <w:t>Typical result</w:t>
            </w:r>
          </w:p>
        </w:tc>
      </w:tr>
      <w:tr>
        <w:tc>
          <w:tcPr>
            <w:tcW w:type="dxa" w:w="3293"/>
            <w:vAlign w:val="center"/>
          </w:tcPr>
          <w:p>
            <w:pPr>
              <w:spacing w:after="0"/>
            </w:pPr>
            <w:r/>
            <w:r>
              <w:rPr>
                <w:rFonts w:ascii="Aptos" w:hAnsi="Aptos"/>
                <w:b w:val="0"/>
                <w:sz w:val="18"/>
              </w:rPr>
              <w:t>Admissibility</w:t>
            </w:r>
          </w:p>
        </w:tc>
        <w:tc>
          <w:tcPr>
            <w:tcW w:type="dxa" w:w="3293"/>
            <w:vAlign w:val="center"/>
          </w:tcPr>
          <w:p>
            <w:pPr>
              <w:spacing w:after="0"/>
            </w:pPr>
            <w:r/>
            <w:r>
              <w:rPr>
                <w:rFonts w:ascii="Aptos" w:hAnsi="Aptos"/>
                <w:b w:val="0"/>
                <w:sz w:val="18"/>
              </w:rPr>
              <w:t>Must be satisfied before the action may proceed</w:t>
            </w:r>
          </w:p>
        </w:tc>
        <w:tc>
          <w:tcPr>
            <w:tcW w:type="dxa" w:w="3293"/>
            <w:vAlign w:val="center"/>
          </w:tcPr>
          <w:p>
            <w:pPr>
              <w:spacing w:after="0"/>
            </w:pPr>
            <w:r/>
            <w:r>
              <w:rPr>
                <w:rFonts w:ascii="Aptos" w:hAnsi="Aptos"/>
                <w:b w:val="0"/>
                <w:sz w:val="18"/>
              </w:rPr>
              <w:t>Allow, refuse, or escalate</w:t>
            </w:r>
          </w:p>
        </w:tc>
      </w:tr>
      <w:tr>
        <w:tc>
          <w:tcPr>
            <w:tcW w:type="dxa" w:w="3293"/>
            <w:vAlign w:val="center"/>
          </w:tcPr>
          <w:p>
            <w:pPr>
              <w:spacing w:after="0"/>
            </w:pPr>
            <w:r/>
            <w:r>
              <w:rPr>
                <w:rFonts w:ascii="Aptos" w:hAnsi="Aptos"/>
                <w:b w:val="0"/>
                <w:sz w:val="18"/>
              </w:rPr>
              <w:t>Governing</w:t>
            </w:r>
          </w:p>
        </w:tc>
        <w:tc>
          <w:tcPr>
            <w:tcW w:type="dxa" w:w="3293"/>
            <w:vAlign w:val="center"/>
          </w:tcPr>
          <w:p>
            <w:pPr>
              <w:spacing w:after="0"/>
            </w:pPr>
            <w:r/>
            <w:r>
              <w:rPr>
                <w:rFonts w:ascii="Aptos" w:hAnsi="Aptos"/>
                <w:b w:val="0"/>
                <w:sz w:val="18"/>
              </w:rPr>
              <w:t>Determines which decision path or rule set applies</w:t>
            </w:r>
          </w:p>
        </w:tc>
        <w:tc>
          <w:tcPr>
            <w:tcW w:type="dxa" w:w="3293"/>
            <w:vAlign w:val="center"/>
          </w:tcPr>
          <w:p>
            <w:pPr>
              <w:spacing w:after="0"/>
            </w:pPr>
            <w:r/>
            <w:r>
              <w:rPr>
                <w:rFonts w:ascii="Aptos" w:hAnsi="Aptos"/>
                <w:b w:val="0"/>
                <w:sz w:val="18"/>
              </w:rPr>
              <w:t>Select governing branch</w:t>
            </w:r>
          </w:p>
        </w:tc>
      </w:tr>
      <w:tr>
        <w:tc>
          <w:tcPr>
            <w:tcW w:type="dxa" w:w="3293"/>
            <w:vAlign w:val="center"/>
          </w:tcPr>
          <w:p>
            <w:pPr>
              <w:spacing w:after="0"/>
            </w:pPr>
            <w:r/>
            <w:r>
              <w:rPr>
                <w:rFonts w:ascii="Aptos" w:hAnsi="Aptos"/>
                <w:b w:val="0"/>
                <w:sz w:val="18"/>
              </w:rPr>
              <w:t>Comparative</w:t>
            </w:r>
          </w:p>
        </w:tc>
        <w:tc>
          <w:tcPr>
            <w:tcW w:type="dxa" w:w="3293"/>
            <w:vAlign w:val="center"/>
          </w:tcPr>
          <w:p>
            <w:pPr>
              <w:spacing w:after="0"/>
            </w:pPr>
            <w:r/>
            <w:r>
              <w:rPr>
                <w:rFonts w:ascii="Aptos" w:hAnsi="Aptos"/>
                <w:b w:val="0"/>
                <w:sz w:val="18"/>
              </w:rPr>
              <w:t>May be balanced against other factors after admissibility</w:t>
            </w:r>
          </w:p>
        </w:tc>
        <w:tc>
          <w:tcPr>
            <w:tcW w:type="dxa" w:w="3293"/>
            <w:vAlign w:val="center"/>
          </w:tcPr>
          <w:p>
            <w:pPr>
              <w:spacing w:after="0"/>
            </w:pPr>
            <w:r/>
            <w:r>
              <w:rPr>
                <w:rFonts w:ascii="Aptos" w:hAnsi="Aptos"/>
                <w:b w:val="0"/>
                <w:sz w:val="18"/>
              </w:rPr>
              <w:t>Rank or select</w:t>
            </w:r>
          </w:p>
        </w:tc>
      </w:tr>
      <w:tr>
        <w:tc>
          <w:tcPr>
            <w:tcW w:type="dxa" w:w="3293"/>
            <w:vAlign w:val="center"/>
          </w:tcPr>
          <w:p>
            <w:pPr>
              <w:spacing w:after="0"/>
            </w:pPr>
            <w:r/>
            <w:r>
              <w:rPr>
                <w:rFonts w:ascii="Aptos" w:hAnsi="Aptos"/>
                <w:b w:val="0"/>
                <w:sz w:val="18"/>
              </w:rPr>
              <w:t>State-forming</w:t>
            </w:r>
          </w:p>
        </w:tc>
        <w:tc>
          <w:tcPr>
            <w:tcW w:type="dxa" w:w="3293"/>
            <w:vAlign w:val="center"/>
          </w:tcPr>
          <w:p>
            <w:pPr>
              <w:spacing w:after="0"/>
            </w:pPr>
            <w:r/>
            <w:r>
              <w:rPr>
                <w:rFonts w:ascii="Aptos" w:hAnsi="Aptos"/>
                <w:b w:val="0"/>
                <w:sz w:val="18"/>
              </w:rPr>
              <w:t>Changes the current or future decision state</w:t>
            </w:r>
          </w:p>
        </w:tc>
        <w:tc>
          <w:tcPr>
            <w:tcW w:type="dxa" w:w="3293"/>
            <w:vAlign w:val="center"/>
          </w:tcPr>
          <w:p>
            <w:pPr>
              <w:spacing w:after="0"/>
            </w:pPr>
            <w:r/>
            <w:r>
              <w:rPr>
                <w:rFonts w:ascii="Aptos" w:hAnsi="Aptos"/>
                <w:b w:val="0"/>
                <w:sz w:val="18"/>
              </w:rPr>
              <w:t>Normal, watch, suspended</w:t>
            </w:r>
          </w:p>
        </w:tc>
      </w:tr>
      <w:tr>
        <w:tc>
          <w:tcPr>
            <w:tcW w:type="dxa" w:w="3293"/>
            <w:vAlign w:val="center"/>
          </w:tcPr>
          <w:p>
            <w:pPr>
              <w:spacing w:after="0"/>
            </w:pPr>
            <w:r/>
            <w:r>
              <w:rPr>
                <w:rFonts w:ascii="Aptos" w:hAnsi="Aptos"/>
                <w:b w:val="0"/>
                <w:sz w:val="18"/>
              </w:rPr>
              <w:t>Evidence</w:t>
            </w:r>
          </w:p>
        </w:tc>
        <w:tc>
          <w:tcPr>
            <w:tcW w:type="dxa" w:w="3293"/>
            <w:vAlign w:val="center"/>
          </w:tcPr>
          <w:p>
            <w:pPr>
              <w:spacing w:after="0"/>
            </w:pPr>
            <w:r/>
            <w:r>
              <w:rPr>
                <w:rFonts w:ascii="Aptos" w:hAnsi="Aptos"/>
                <w:b w:val="0"/>
                <w:sz w:val="18"/>
              </w:rPr>
              <w:t>Determines whether a factual claim may be relied upon</w:t>
            </w:r>
          </w:p>
        </w:tc>
        <w:tc>
          <w:tcPr>
            <w:tcW w:type="dxa" w:w="3293"/>
            <w:vAlign w:val="center"/>
          </w:tcPr>
          <w:p>
            <w:pPr>
              <w:spacing w:after="0"/>
            </w:pPr>
            <w:r/>
            <w:r>
              <w:rPr>
                <w:rFonts w:ascii="Aptos" w:hAnsi="Aptos"/>
                <w:b w:val="0"/>
                <w:sz w:val="18"/>
              </w:rPr>
              <w:t>Verified, disputed, missing</w:t>
            </w:r>
          </w:p>
        </w:tc>
      </w:tr>
    </w:tbl>
    <w:p>
      <w:r>
        <w:t>This classification prevents a common failure: treating every consideration as another score input. A verified-address requirement, for example, may be an admissibility condition. It should not be converted into a modest penalty that a high customer-value score can overcome.</w:t>
      </w:r>
    </w:p>
    <w:p>
      <w:pPr>
        <w:pStyle w:val="Heading1"/>
        <w:keepNext/>
        <w:keepLines/>
      </w:pPr>
      <w:r>
        <w:t>5. Identify Domains, Productive Value, and Productive Power</w:t>
      </w:r>
    </w:p>
    <w:p>
      <w:r>
        <w:t>The PV-PP framework organizes a decision around distinct domains rather than assuming that all considerations belong in one compensatory pool. A domain is a decision-relevant area whose information may need to remain separately visible because it governs, constrains, or changes the meaning of other information.</w:t>
      </w:r>
    </w:p>
    <w:p>
      <w:r>
        <w:t>Within an application, Productive Value refers to the goods, services, information, currency, or other value transferred or expected from an interaction. Productive Power refers to the capacity to produce, preserve, or deliver that value. The exact interpretation must be defined for the bounded decision; generic labels are not enough.</w:t>
      </w:r>
    </w:p>
    <w:p>
      <w:pPr/>
      <w:r>
        <w:t>A practical design pass should answer three questions: What value is expected to move or be produced? Which capacities make that production possible? Which proposed action changes either the immediate value transfer or the future capacity to produce it? These answers should affect the domains, admissibility rules, state transitions, or comparison factors. If the labels do not change the decision architecture, they are descriptive terminology rather than an implemented PV-PP distinction.</w:t>
      </w:r>
    </w:p>
    <w:p>
      <w:r>
        <w:t>In a carrier-selection case, delivered transportation service is Productive Value. Fleet availability, compliance status, route capability, and demonstrated reliability may contribute to Productive Power. Price can still be compared, but a carrier that lacks the capacity or authority to perform the service should not remain eligible merely because its price is low.</w:t>
      </w:r>
    </w:p>
    <w:p>
      <w:r>
        <w:t>The framework does not discover omitted domains automatically. A team that fails to identify compliance or delivery deterioration will miss it in any architecture. The advantage appears after the domain is identified: the decision system can preserve it as a governing condition or state transition instead of forcing it to compete numerically with unrelated benefits.</w:t>
      </w:r>
    </w:p>
    <w:p>
      <w:pPr>
        <w:pStyle w:val="Heading1"/>
        <w:keepNext/>
        <w:keepLines/>
      </w:pPr>
      <w:r>
        <w:t>6. Define State, Thresholds, and History</w:t>
      </w:r>
    </w:p>
    <w:p>
      <w:r>
        <w:t>Some requirements depend on the present observation only. Others depend on accumulation, sequence, or prior response. The design must therefore state which events change the decision state and which historical facts remain relevant.</w:t>
      </w:r>
    </w:p>
    <w:p>
      <w:r>
        <w:t>A carrier might move through three declared states: normal operation, performance watch, and suspended. One late delivery may update a performance measure without changing state. Repeated lateness within a defined period may cross a threshold and move the carrier to performance watch. A compliance failure may produce immediate suspension.</w:t>
      </w:r>
    </w:p>
    <w:p>
      <w:r>
        <w:t>The key distinction is that a threshold crossing may change the architecture that applies next. It can alter permitted actions, evidence requirements, review frequency, or recovery conditions. A scalar model can reproduce this behavior, but only by adding state variables, branching logic, or piecewise functions. The PV-PP architecture keeps the state change explicit.</w:t>
      </w:r>
    </w:p>
    <w:p>
      <w:pPr>
        <w:pStyle w:val="Heading1"/>
        <w:keepNext/>
        <w:keepLines/>
      </w:pPr>
      <w:r>
        <w:t>7. Specify the Decision Sequence</w:t>
      </w:r>
    </w:p>
    <w:p>
      <w:r>
        <w:t>After domains and condition roles are known, the team should define the order in which the system evaluates them. A bounded runtime sequence may look like this:</w:t>
      </w:r>
    </w:p>
    <w:p>
      <w:pPr>
        <w:pStyle w:val="ListNumber"/>
        <w:spacing w:after="40"/>
      </w:pPr>
      <w:r>
        <w:t>Receive the proposed action, current state, and available evidence.</w:t>
      </w:r>
    </w:p>
    <w:p>
      <w:pPr>
        <w:pStyle w:val="ListNumber"/>
        <w:spacing w:after="40"/>
      </w:pPr>
      <w:r>
        <w:t>Verify the evidence required for the decision.</w:t>
      </w:r>
    </w:p>
    <w:p>
      <w:pPr>
        <w:pStyle w:val="ListNumber"/>
        <w:spacing w:after="40"/>
      </w:pPr>
      <w:r>
        <w:t>Apply admissibility conditions and hard constraints.</w:t>
      </w:r>
    </w:p>
    <w:p>
      <w:pPr>
        <w:pStyle w:val="ListNumber"/>
        <w:spacing w:after="40"/>
      </w:pPr>
      <w:r>
        <w:t>Determine which governing condition or state applies.</w:t>
      </w:r>
    </w:p>
    <w:p>
      <w:pPr>
        <w:pStyle w:val="ListNumber"/>
        <w:spacing w:after="40"/>
      </w:pPr>
      <w:r>
        <w:t>Compare or score the remaining eligible alternatives where permitted.</w:t>
      </w:r>
    </w:p>
    <w:p>
      <w:pPr>
        <w:pStyle w:val="ListNumber"/>
        <w:spacing w:after="40"/>
      </w:pPr>
      <w:r>
        <w:t>Admit, refuse, or escalate the action.</w:t>
      </w:r>
    </w:p>
    <w:p>
      <w:pPr>
        <w:pStyle w:val="ListNumber"/>
        <w:spacing w:after="40"/>
      </w:pPr>
      <w:r>
        <w:t>Issue a decision receipt containing the basis and evidence used.</w:t>
      </w:r>
    </w:p>
    <w:p>
      <w:pPr>
        <w:pStyle w:val="ListNumber"/>
        <w:spacing w:after="40"/>
      </w:pPr>
      <w:r>
        <w:t>Update history and state after the outcome becomes known.</w:t>
      </w:r>
    </w:p>
    <w:p>
      <w:r>
        <w:t>Scalar aggregation may appear inside step five. It is not prohibited; it is bounded. The score is used only after the architecture has determined that the options are eligible and that comparison is the correct operation.</w:t>
      </w:r>
    </w:p>
    <w:p>
      <w:pPr>
        <w:pStyle w:val="Heading1"/>
        <w:keepNext/>
        <w:keepLines/>
      </w:pPr>
      <w:r>
        <w:t>8. Produce Structured and Executable Artifacts</w:t>
      </w:r>
    </w:p>
    <w:p>
      <w:r>
        <w:t>Once the decision architecture is defined, tooling can convert it into implementation artifacts. The exact formats may differ by platform, but the artifact set should remain traceable to the source decision design.</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shd w:fill="1F4E78"/>
          </w:tcPr>
          <w:p>
            <w:pPr>
              <w:spacing w:after="0"/>
            </w:pPr>
            <w:r/>
            <w:r>
              <w:rPr>
                <w:rFonts w:ascii="Aptos" w:hAnsi="Aptos"/>
                <w:b/>
                <w:color w:val="FFFFFF"/>
                <w:sz w:val="18"/>
              </w:rPr>
              <w:t>Artifact</w:t>
            </w:r>
          </w:p>
        </w:tc>
        <w:tc>
          <w:tcPr>
            <w:tcW w:type="dxa" w:w="3293"/>
            <w:vAlign w:val="center"/>
            <w:shd w:fill="1F4E78"/>
          </w:tcPr>
          <w:p>
            <w:pPr>
              <w:spacing w:after="0"/>
            </w:pPr>
            <w:r/>
            <w:r>
              <w:rPr>
                <w:rFonts w:ascii="Aptos" w:hAnsi="Aptos"/>
                <w:b/>
                <w:color w:val="FFFFFF"/>
                <w:sz w:val="18"/>
              </w:rPr>
              <w:t>Purpose</w:t>
            </w:r>
          </w:p>
        </w:tc>
        <w:tc>
          <w:tcPr>
            <w:tcW w:type="dxa" w:w="3293"/>
            <w:vAlign w:val="center"/>
            <w:shd w:fill="1F4E78"/>
          </w:tcPr>
          <w:p>
            <w:pPr>
              <w:spacing w:after="0"/>
            </w:pPr>
            <w:r/>
            <w:r>
              <w:rPr>
                <w:rFonts w:ascii="Aptos" w:hAnsi="Aptos"/>
                <w:b/>
                <w:color w:val="FFFFFF"/>
                <w:sz w:val="18"/>
              </w:rPr>
              <w:t>Minimum content</w:t>
            </w:r>
          </w:p>
        </w:tc>
      </w:tr>
      <w:tr>
        <w:tc>
          <w:tcPr>
            <w:tcW w:type="dxa" w:w="3293"/>
            <w:vAlign w:val="center"/>
          </w:tcPr>
          <w:p>
            <w:pPr>
              <w:spacing w:after="0"/>
            </w:pPr>
            <w:r/>
            <w:r>
              <w:rPr>
                <w:rFonts w:ascii="Aptos" w:hAnsi="Aptos"/>
                <w:b w:val="0"/>
                <w:sz w:val="18"/>
              </w:rPr>
              <w:t>Decision specification</w:t>
            </w:r>
          </w:p>
        </w:tc>
        <w:tc>
          <w:tcPr>
            <w:tcW w:type="dxa" w:w="3293"/>
            <w:vAlign w:val="center"/>
          </w:tcPr>
          <w:p>
            <w:pPr>
              <w:spacing w:after="0"/>
            </w:pPr>
            <w:r/>
            <w:r>
              <w:rPr>
                <w:rFonts w:ascii="Aptos" w:hAnsi="Aptos"/>
                <w:b w:val="0"/>
                <w:sz w:val="18"/>
              </w:rPr>
              <w:t>Defines the governed surface</w:t>
            </w:r>
          </w:p>
        </w:tc>
        <w:tc>
          <w:tcPr>
            <w:tcW w:type="dxa" w:w="3293"/>
            <w:vAlign w:val="center"/>
          </w:tcPr>
          <w:p>
            <w:pPr>
              <w:spacing w:after="0"/>
            </w:pPr>
            <w:r/>
            <w:r>
              <w:rPr>
                <w:rFonts w:ascii="Aptos" w:hAnsi="Aptos"/>
                <w:b w:val="0"/>
                <w:sz w:val="18"/>
              </w:rPr>
              <w:t>Decision, actions, domains, states</w:t>
            </w:r>
          </w:p>
        </w:tc>
      </w:tr>
      <w:tr>
        <w:tc>
          <w:tcPr>
            <w:tcW w:type="dxa" w:w="3293"/>
            <w:vAlign w:val="center"/>
          </w:tcPr>
          <w:p>
            <w:pPr>
              <w:spacing w:after="0"/>
            </w:pPr>
            <w:r/>
            <w:r>
              <w:rPr>
                <w:rFonts w:ascii="Aptos" w:hAnsi="Aptos"/>
                <w:b w:val="0"/>
                <w:sz w:val="18"/>
              </w:rPr>
              <w:t>Structured rules</w:t>
            </w:r>
          </w:p>
        </w:tc>
        <w:tc>
          <w:tcPr>
            <w:tcW w:type="dxa" w:w="3293"/>
            <w:vAlign w:val="center"/>
          </w:tcPr>
          <w:p>
            <w:pPr>
              <w:spacing w:after="0"/>
            </w:pPr>
            <w:r/>
            <w:r>
              <w:rPr>
                <w:rFonts w:ascii="Aptos" w:hAnsi="Aptos"/>
                <w:b w:val="0"/>
                <w:sz w:val="18"/>
              </w:rPr>
              <w:t>Supports machine evaluation</w:t>
            </w:r>
          </w:p>
        </w:tc>
        <w:tc>
          <w:tcPr>
            <w:tcW w:type="dxa" w:w="3293"/>
            <w:vAlign w:val="center"/>
          </w:tcPr>
          <w:p>
            <w:pPr>
              <w:spacing w:after="0"/>
            </w:pPr>
            <w:r/>
            <w:r>
              <w:rPr>
                <w:rFonts w:ascii="Aptos" w:hAnsi="Aptos"/>
                <w:b w:val="0"/>
                <w:sz w:val="18"/>
              </w:rPr>
              <w:t>Conditions, roles, consequences, provenance</w:t>
            </w:r>
          </w:p>
        </w:tc>
      </w:tr>
      <w:tr>
        <w:tc>
          <w:tcPr>
            <w:tcW w:type="dxa" w:w="3293"/>
            <w:vAlign w:val="center"/>
          </w:tcPr>
          <w:p>
            <w:pPr>
              <w:spacing w:after="0"/>
            </w:pPr>
            <w:r/>
            <w:r>
              <w:rPr>
                <w:rFonts w:ascii="Aptos" w:hAnsi="Aptos"/>
                <w:b w:val="0"/>
                <w:sz w:val="18"/>
              </w:rPr>
              <w:t>Schemas or JSON</w:t>
            </w:r>
          </w:p>
        </w:tc>
        <w:tc>
          <w:tcPr>
            <w:tcW w:type="dxa" w:w="3293"/>
            <w:vAlign w:val="center"/>
          </w:tcPr>
          <w:p>
            <w:pPr>
              <w:spacing w:after="0"/>
            </w:pPr>
            <w:r/>
            <w:r>
              <w:rPr>
                <w:rFonts w:ascii="Aptos" w:hAnsi="Aptos"/>
                <w:b w:val="0"/>
                <w:sz w:val="18"/>
              </w:rPr>
              <w:t>Provides interoperable packaging</w:t>
            </w:r>
          </w:p>
        </w:tc>
        <w:tc>
          <w:tcPr>
            <w:tcW w:type="dxa" w:w="3293"/>
            <w:vAlign w:val="center"/>
          </w:tcPr>
          <w:p>
            <w:pPr>
              <w:spacing w:after="0"/>
            </w:pPr>
            <w:r/>
            <w:r>
              <w:rPr>
                <w:rFonts w:ascii="Aptos" w:hAnsi="Aptos"/>
                <w:b w:val="0"/>
                <w:sz w:val="18"/>
              </w:rPr>
              <w:t>Identifiers, fields, allowed values</w:t>
            </w:r>
          </w:p>
        </w:tc>
      </w:tr>
      <w:tr>
        <w:tc>
          <w:tcPr>
            <w:tcW w:type="dxa" w:w="3293"/>
            <w:vAlign w:val="center"/>
          </w:tcPr>
          <w:p>
            <w:pPr>
              <w:spacing w:after="0"/>
            </w:pPr>
            <w:r/>
            <w:r>
              <w:rPr>
                <w:rFonts w:ascii="Aptos" w:hAnsi="Aptos"/>
                <w:b w:val="0"/>
                <w:sz w:val="18"/>
              </w:rPr>
              <w:t>Test vectors</w:t>
            </w:r>
          </w:p>
        </w:tc>
        <w:tc>
          <w:tcPr>
            <w:tcW w:type="dxa" w:w="3293"/>
            <w:vAlign w:val="center"/>
          </w:tcPr>
          <w:p>
            <w:pPr>
              <w:spacing w:after="0"/>
            </w:pPr>
            <w:r/>
            <w:r>
              <w:rPr>
                <w:rFonts w:ascii="Aptos" w:hAnsi="Aptos"/>
                <w:b w:val="0"/>
                <w:sz w:val="18"/>
              </w:rPr>
              <w:t>Demonstrates required behavior</w:t>
            </w:r>
          </w:p>
        </w:tc>
        <w:tc>
          <w:tcPr>
            <w:tcW w:type="dxa" w:w="3293"/>
            <w:vAlign w:val="center"/>
          </w:tcPr>
          <w:p>
            <w:pPr>
              <w:spacing w:after="0"/>
            </w:pPr>
            <w:r/>
            <w:r>
              <w:rPr>
                <w:rFonts w:ascii="Aptos" w:hAnsi="Aptos"/>
                <w:b w:val="0"/>
                <w:sz w:val="18"/>
              </w:rPr>
              <w:t>Normal, boundary, failure, recovery cases</w:t>
            </w:r>
          </w:p>
        </w:tc>
      </w:tr>
      <w:tr>
        <w:tc>
          <w:tcPr>
            <w:tcW w:type="dxa" w:w="3293"/>
            <w:vAlign w:val="center"/>
          </w:tcPr>
          <w:p>
            <w:pPr>
              <w:spacing w:after="0"/>
            </w:pPr>
            <w:r/>
            <w:r>
              <w:rPr>
                <w:rFonts w:ascii="Aptos" w:hAnsi="Aptos"/>
                <w:b w:val="0"/>
                <w:sz w:val="18"/>
              </w:rPr>
              <w:t>Decision receipt</w:t>
            </w:r>
          </w:p>
        </w:tc>
        <w:tc>
          <w:tcPr>
            <w:tcW w:type="dxa" w:w="3293"/>
            <w:vAlign w:val="center"/>
          </w:tcPr>
          <w:p>
            <w:pPr>
              <w:spacing w:after="0"/>
            </w:pPr>
            <w:r/>
            <w:r>
              <w:rPr>
                <w:rFonts w:ascii="Aptos" w:hAnsi="Aptos"/>
                <w:b w:val="0"/>
                <w:sz w:val="18"/>
              </w:rPr>
              <w:t>Supports audit and replay</w:t>
            </w:r>
          </w:p>
        </w:tc>
        <w:tc>
          <w:tcPr>
            <w:tcW w:type="dxa" w:w="3293"/>
            <w:vAlign w:val="center"/>
          </w:tcPr>
          <w:p>
            <w:pPr>
              <w:spacing w:after="0"/>
            </w:pPr>
            <w:r/>
            <w:r>
              <w:rPr>
                <w:rFonts w:ascii="Aptos" w:hAnsi="Aptos"/>
                <w:b w:val="0"/>
                <w:sz w:val="18"/>
              </w:rPr>
              <w:t>Inputs, state, rule path, result, timestamp</w:t>
            </w:r>
          </w:p>
        </w:tc>
      </w:tr>
    </w:tbl>
    <w:p>
      <w:r>
        <w:t>A generative model may draft these artifacts, check consistency, and identify missing fields. Human authority remains responsible for approving the rules, resolving conflicts, and deciding which interpretations are binding.</w:t>
      </w:r>
    </w:p>
    <w:p>
      <w:pPr>
        <w:pStyle w:val="Heading1"/>
        <w:keepNext/>
        <w:keepLines/>
      </w:pPr>
      <w:r>
        <w:t>9. Three Deployment Forms</w:t>
      </w:r>
    </w:p>
    <w:p>
      <w:r>
        <w:t>The term “implementation” can conceal materially different architectures. Program managers should distinguish the following three forms.</w:t>
      </w:r>
    </w:p>
    <w:p>
      <w:pPr>
        <w:pStyle w:val="Heading2"/>
        <w:keepNext/>
        <w:keepLines/>
      </w:pPr>
      <w:r>
        <w:t>9.1 Offline compilation</w:t>
      </w:r>
    </w:p>
    <w:p>
      <w:r>
        <w:t>The organization’s source materials are transformed into explicit decision specifications, structured rules, schemas, and tests. No live action is governed yet. The output is a reviewable implementation package.</w:t>
      </w:r>
    </w:p>
    <w:p>
      <w:pPr>
        <w:pStyle w:val="Heading2"/>
        <w:keepNext/>
        <w:keepLines/>
      </w:pPr>
      <w:r>
        <w:t>9.2 Sidecar governance</w:t>
      </w:r>
    </w:p>
    <w:p>
      <w:r>
        <w:t>An external control layer evaluates a proposed action from an existing agent or workflow. The sidecar receives the relevant state and evidence, applies the governance packet, and returns an admission, refusal, or escalation result. It may also issue a receipt for replay and audit.</w:t>
      </w:r>
    </w:p>
    <w:p>
      <w:r>
        <w:t>A sidecar can be implemented without replacing the underlying agent. Its general function is to receive a proposed action and the relevant state, apply the approved decision packet, and return an admission, refusal, or escalation result with a receipt.</w:t>
      </w:r>
    </w:p>
    <w:p>
      <w:pPr>
        <w:pStyle w:val="Heading2"/>
        <w:keepNext/>
        <w:keepLines/>
      </w:pPr>
      <w:r>
        <w:t>9.3 Inline runtime governance</w:t>
      </w:r>
    </w:p>
    <w:p>
      <w:r>
        <w:t>An inline runtime participates directly in the live decision loop. In the current PV-PP program, the frozen v0.70 Runtime API supplies the common decision-cycle interface: applications register domains, productive powers, actions, governing and regime logic, constraints, policy construction, selection, execution, and explicit state transition services. The host application remains responsible for its actual persistent state, domain-specific evidence, external events, and storage strategy.</w:t>
      </w:r>
    </w:p>
    <w:p>
      <w:r>
        <w:t>A production inline application may also require persistent storage, event ingestion, outcome feedback, tool-call control, recovery logic, and replayable receipts. Those are application and integration requirements around the common runtime, not evidence that the runtime interface itself is unfinished.</w:t>
      </w:r>
    </w:p>
    <w:p>
      <w:pPr>
        <w:pStyle w:val="Heading1"/>
        <w:keepNext/>
        <w:keepLines/>
      </w:pPr>
      <w:r>
        <w:t>10. Implementation Ladder and Current Evidence</w:t>
      </w:r>
    </w:p>
    <w:p>
      <w:r>
        <w:t>Organizations still should not begin with unnecessary integration complexity. Each implementation stage should produce evidence needed to justify the next. The ladder below is retained as a deployment guide, but its original June 2026 status column is superseded by later work: the PV-PP Runtime API has now reached Runtime Interface Freeze 1 at v0.70.</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2469"/>
            <w:vAlign w:val="center"/>
            <w:shd w:fill="1F4E78"/>
          </w:tcPr>
          <w:p>
            <w:pPr>
              <w:spacing w:after="0"/>
            </w:pPr>
            <w:r/>
            <w:r>
              <w:rPr>
                <w:rFonts w:ascii="Aptos" w:hAnsi="Aptos"/>
                <w:b/>
                <w:color w:val="FFFFFF"/>
                <w:sz w:val="17"/>
              </w:rPr>
              <w:t>Stage</w:t>
            </w:r>
          </w:p>
        </w:tc>
        <w:tc>
          <w:tcPr>
            <w:tcW w:type="dxa" w:w="2469"/>
            <w:vAlign w:val="center"/>
            <w:shd w:fill="1F4E78"/>
          </w:tcPr>
          <w:p>
            <w:pPr>
              <w:spacing w:after="0"/>
            </w:pPr>
            <w:r/>
            <w:r>
              <w:rPr>
                <w:rFonts w:ascii="Aptos" w:hAnsi="Aptos"/>
                <w:b/>
                <w:color w:val="FFFFFF"/>
                <w:sz w:val="17"/>
              </w:rPr>
              <w:t>Primary output</w:t>
            </w:r>
          </w:p>
        </w:tc>
        <w:tc>
          <w:tcPr>
            <w:tcW w:type="dxa" w:w="2469"/>
            <w:vAlign w:val="center"/>
            <w:shd w:fill="1F4E78"/>
          </w:tcPr>
          <w:p>
            <w:pPr>
              <w:spacing w:after="0"/>
            </w:pPr>
            <w:r/>
            <w:r>
              <w:rPr>
                <w:rFonts w:ascii="Aptos" w:hAnsi="Aptos"/>
                <w:b/>
                <w:color w:val="FFFFFF"/>
                <w:sz w:val="17"/>
              </w:rPr>
              <w:t>Evidence gained</w:t>
            </w:r>
          </w:p>
        </w:tc>
        <w:tc>
          <w:tcPr>
            <w:tcW w:type="dxa" w:w="2469"/>
            <w:vAlign w:val="center"/>
            <w:shd w:fill="1F4E78"/>
          </w:tcPr>
          <w:p>
            <w:pPr>
              <w:spacing w:after="0"/>
            </w:pPr>
            <w:r/>
            <w:r>
              <w:rPr>
                <w:rFonts w:ascii="Aptos" w:hAnsi="Aptos"/>
                <w:b/>
                <w:color w:val="FFFFFF"/>
                <w:sz w:val="17"/>
              </w:rPr>
              <w:t>Status of current work</w:t>
            </w:r>
          </w:p>
        </w:tc>
      </w:tr>
      <w:tr>
        <w:tc>
          <w:tcPr>
            <w:tcW w:type="dxa" w:w="2469"/>
            <w:vAlign w:val="center"/>
          </w:tcPr>
          <w:p>
            <w:pPr>
              <w:spacing w:after="0"/>
            </w:pPr>
            <w:r/>
            <w:r>
              <w:rPr>
                <w:rFonts w:ascii="Aptos" w:hAnsi="Aptos"/>
                <w:b w:val="0"/>
                <w:sz w:val="16"/>
              </w:rPr>
              <w:t>1. Define</w:t>
            </w:r>
          </w:p>
        </w:tc>
        <w:tc>
          <w:tcPr>
            <w:tcW w:type="dxa" w:w="2469"/>
            <w:vAlign w:val="center"/>
          </w:tcPr>
          <w:p>
            <w:pPr>
              <w:spacing w:after="0"/>
            </w:pPr>
            <w:r/>
            <w:r>
              <w:rPr>
                <w:rFonts w:ascii="Aptos" w:hAnsi="Aptos"/>
                <w:b w:val="0"/>
                <w:sz w:val="16"/>
              </w:rPr>
              <w:t>Bounded decision specification</w:t>
            </w:r>
          </w:p>
        </w:tc>
        <w:tc>
          <w:tcPr>
            <w:tcW w:type="dxa" w:w="2469"/>
            <w:vAlign w:val="center"/>
          </w:tcPr>
          <w:p>
            <w:pPr>
              <w:spacing w:after="0"/>
            </w:pPr>
            <w:r/>
            <w:r>
              <w:rPr>
                <w:rFonts w:ascii="Aptos" w:hAnsi="Aptos"/>
                <w:b w:val="0"/>
                <w:sz w:val="16"/>
              </w:rPr>
              <w:t>Agreement on scope and authority</w:t>
            </w:r>
          </w:p>
        </w:tc>
        <w:tc>
          <w:tcPr>
            <w:tcW w:type="dxa" w:w="2469"/>
            <w:vAlign w:val="center"/>
          </w:tcPr>
          <w:p>
            <w:r>
              <w:t>Method supported</w:t>
            </w:r>
          </w:p>
        </w:tc>
      </w:tr>
      <w:tr>
        <w:tc>
          <w:tcPr>
            <w:tcW w:type="dxa" w:w="2469"/>
            <w:vAlign w:val="center"/>
          </w:tcPr>
          <w:p>
            <w:pPr>
              <w:spacing w:after="0"/>
            </w:pPr>
            <w:r/>
            <w:r>
              <w:rPr>
                <w:rFonts w:ascii="Aptos" w:hAnsi="Aptos"/>
                <w:b w:val="0"/>
                <w:sz w:val="16"/>
              </w:rPr>
              <w:t>2. Compile</w:t>
            </w:r>
          </w:p>
        </w:tc>
        <w:tc>
          <w:tcPr>
            <w:tcW w:type="dxa" w:w="2469"/>
            <w:vAlign w:val="center"/>
          </w:tcPr>
          <w:p>
            <w:pPr>
              <w:spacing w:after="0"/>
            </w:pPr>
            <w:r/>
            <w:r>
              <w:rPr>
                <w:rFonts w:ascii="Aptos" w:hAnsi="Aptos"/>
                <w:b w:val="0"/>
                <w:sz w:val="16"/>
              </w:rPr>
              <w:t>Rules, schemas, questions, tests</w:t>
            </w:r>
          </w:p>
        </w:tc>
        <w:tc>
          <w:tcPr>
            <w:tcW w:type="dxa" w:w="2469"/>
            <w:vAlign w:val="center"/>
          </w:tcPr>
          <w:p>
            <w:pPr>
              <w:spacing w:after="0"/>
            </w:pPr>
            <w:r/>
            <w:r>
              <w:rPr>
                <w:rFonts w:ascii="Aptos" w:hAnsi="Aptos"/>
                <w:b w:val="0"/>
                <w:sz w:val="16"/>
              </w:rPr>
              <w:t>Requirements become inspectable</w:t>
            </w:r>
          </w:p>
        </w:tc>
        <w:tc>
          <w:tcPr>
            <w:tcW w:type="dxa" w:w="2469"/>
            <w:vAlign w:val="center"/>
          </w:tcPr>
          <w:p>
            <w:r>
              <w:t>Demonstrated</w:t>
            </w:r>
          </w:p>
        </w:tc>
      </w:tr>
      <w:tr>
        <w:tc>
          <w:tcPr>
            <w:tcW w:type="dxa" w:w="2469"/>
            <w:vAlign w:val="center"/>
          </w:tcPr>
          <w:p>
            <w:pPr>
              <w:spacing w:after="0"/>
            </w:pPr>
            <w:r/>
            <w:r>
              <w:rPr>
                <w:rFonts w:ascii="Aptos" w:hAnsi="Aptos"/>
                <w:b w:val="0"/>
                <w:sz w:val="16"/>
              </w:rPr>
              <w:t>3. Sidecar</w:t>
            </w:r>
          </w:p>
        </w:tc>
        <w:tc>
          <w:tcPr>
            <w:tcW w:type="dxa" w:w="2469"/>
            <w:vAlign w:val="center"/>
          </w:tcPr>
          <w:p>
            <w:pPr>
              <w:spacing w:after="0"/>
            </w:pPr>
            <w:r/>
            <w:r>
              <w:rPr>
                <w:rFonts w:ascii="Aptos" w:hAnsi="Aptos"/>
                <w:b w:val="0"/>
                <w:sz w:val="16"/>
              </w:rPr>
              <w:t>External admit/refuse/escalate control</w:t>
            </w:r>
          </w:p>
        </w:tc>
        <w:tc>
          <w:tcPr>
            <w:tcW w:type="dxa" w:w="2469"/>
            <w:vAlign w:val="center"/>
          </w:tcPr>
          <w:p>
            <w:pPr>
              <w:spacing w:after="0"/>
            </w:pPr>
            <w:r/>
            <w:r>
              <w:rPr>
                <w:rFonts w:ascii="Aptos" w:hAnsi="Aptos"/>
                <w:b w:val="0"/>
                <w:sz w:val="16"/>
              </w:rPr>
              <w:t>Rules operate against proposed actions</w:t>
            </w:r>
          </w:p>
        </w:tc>
        <w:tc>
          <w:tcPr>
            <w:tcW w:type="dxa" w:w="2469"/>
            <w:vAlign w:val="center"/>
          </w:tcPr>
          <w:p>
            <w:r>
              <w:t>Demonstrated</w:t>
            </w:r>
          </w:p>
        </w:tc>
      </w:tr>
      <w:tr>
        <w:tc>
          <w:tcPr>
            <w:tcW w:type="dxa" w:w="2469"/>
            <w:vAlign w:val="center"/>
          </w:tcPr>
          <w:p>
            <w:pPr>
              <w:spacing w:after="0"/>
            </w:pPr>
            <w:r/>
            <w:r>
              <w:rPr>
                <w:rFonts w:ascii="Aptos" w:hAnsi="Aptos"/>
                <w:b w:val="0"/>
                <w:sz w:val="16"/>
              </w:rPr>
              <w:t>4. Feedback sidecar</w:t>
            </w:r>
          </w:p>
        </w:tc>
        <w:tc>
          <w:tcPr>
            <w:tcW w:type="dxa" w:w="2469"/>
            <w:vAlign w:val="center"/>
          </w:tcPr>
          <w:p>
            <w:pPr>
              <w:spacing w:after="0"/>
            </w:pPr>
            <w:r/>
            <w:r>
              <w:rPr>
                <w:rFonts w:ascii="Aptos" w:hAnsi="Aptos"/>
                <w:b w:val="0"/>
                <w:sz w:val="16"/>
              </w:rPr>
              <w:t>Outcome capture and state updates</w:t>
            </w:r>
          </w:p>
        </w:tc>
        <w:tc>
          <w:tcPr>
            <w:tcW w:type="dxa" w:w="2469"/>
            <w:vAlign w:val="center"/>
          </w:tcPr>
          <w:p>
            <w:pPr>
              <w:spacing w:after="0"/>
            </w:pPr>
            <w:r/>
            <w:r>
              <w:rPr>
                <w:rFonts w:ascii="Aptos" w:hAnsi="Aptos"/>
                <w:b w:val="0"/>
                <w:sz w:val="16"/>
              </w:rPr>
              <w:t>History affects later evaluations</w:t>
            </w:r>
          </w:p>
        </w:tc>
        <w:tc>
          <w:tcPr>
            <w:tcW w:type="dxa" w:w="2469"/>
            <w:vAlign w:val="center"/>
          </w:tcPr>
          <w:p>
            <w:r>
              <w:t>Supported through host/runtime integration</w:t>
            </w:r>
          </w:p>
        </w:tc>
      </w:tr>
      <w:tr>
        <w:tc>
          <w:tcPr>
            <w:tcW w:type="dxa" w:w="2469"/>
            <w:vAlign w:val="center"/>
          </w:tcPr>
          <w:p>
            <w:pPr>
              <w:spacing w:after="0"/>
            </w:pPr>
            <w:r/>
            <w:r>
              <w:rPr>
                <w:rFonts w:ascii="Aptos" w:hAnsi="Aptos"/>
                <w:b w:val="0"/>
                <w:sz w:val="16"/>
              </w:rPr>
              <w:t>5. Inline runtime</w:t>
            </w:r>
          </w:p>
        </w:tc>
        <w:tc>
          <w:tcPr>
            <w:tcW w:type="dxa" w:w="2469"/>
            <w:vAlign w:val="center"/>
          </w:tcPr>
          <w:p>
            <w:pPr>
              <w:spacing w:after="0"/>
            </w:pPr>
            <w:r/>
            <w:r>
              <w:rPr>
                <w:rFonts w:ascii="Aptos" w:hAnsi="Aptos"/>
                <w:b w:val="0"/>
                <w:sz w:val="16"/>
              </w:rPr>
              <w:t>Continuous governed execution loop</w:t>
            </w:r>
          </w:p>
        </w:tc>
        <w:tc>
          <w:tcPr>
            <w:tcW w:type="dxa" w:w="2469"/>
            <w:vAlign w:val="center"/>
          </w:tcPr>
          <w:p>
            <w:pPr>
              <w:spacing w:after="0"/>
            </w:pPr>
            <w:r/>
            <w:r>
              <w:rPr>
                <w:rFonts w:ascii="Aptos" w:hAnsi="Aptos"/>
                <w:b w:val="0"/>
                <w:sz w:val="16"/>
              </w:rPr>
              <w:t>Live control with persistent feedback</w:t>
            </w:r>
          </w:p>
        </w:tc>
        <w:tc>
          <w:tcPr>
            <w:tcW w:type="dxa" w:w="2469"/>
            <w:vAlign w:val="center"/>
          </w:tcPr>
          <w:p>
            <w:r>
              <w:t>Runtime interface frozen at v0.70</w:t>
            </w:r>
          </w:p>
        </w:tc>
      </w:tr>
    </w:tbl>
    <w:p>
      <w:r>
        <w:t>The disciplined path is therefore: specify first, compile and test second, use sidecar integration where that is sufficient, and use the frozen runtime interface when the application requires a live PV-PP decision cycle. The current program now supports a substantially stronger implementation position than the original June draft: v0.70 is frozen as Runtime Interface Freeze 1, its regression suite passes 496 tests, and a native application has been implemented against the common interface.</w:t>
      </w:r>
    </w:p>
    <w:p>
      <w:pPr>
        <w:pStyle w:val="Heading1"/>
        <w:keepNext/>
        <w:keepLines/>
      </w:pPr>
      <w:r>
        <w:t>11. What the Frozen Runtime Adds</w:t>
      </w:r>
    </w:p>
    <w:p>
      <w:r>
        <w:t>A sidecar can answer whether an action is allowed under the state and packet it receives. The frozen runtime goes further by providing a common executable decision cycle in which perceived state, governing conditions, candidate construction, constraints, adequacy, selection, execution, and explicit Layer-1 transition responsibilities can be kept separate.</w:t>
      </w:r>
    </w:p>
    <w:p>
      <w:r>
        <w:t>At a high level, an integrated application still follows this loop:</w:t>
      </w:r>
    </w:p>
    <w:p>
      <w:pPr>
        <w:pStyle w:val="Callout"/>
      </w:pPr>
      <w:r>
        <w:t>current state → proposed action → governance evaluation → permitted execution → observed outcome → receipt → state and history update → next decision</w:t>
      </w:r>
    </w:p>
    <w:p>
      <w:r>
        <w:t>A production application built around the runtime may need:</w:t>
      </w:r>
    </w:p>
    <w:p>
      <w:pPr>
        <w:pStyle w:val="ListBullet"/>
        <w:spacing w:after="40"/>
      </w:pPr>
      <w:r>
        <w:t>Persistent state and relevant history storage appropriate to the host application.</w:t>
      </w:r>
    </w:p>
    <w:p>
      <w:pPr>
        <w:pStyle w:val="ListBullet"/>
        <w:spacing w:after="40"/>
      </w:pPr>
      <w:r>
        <w:t>Evidence and event ingestion tied to authoritative sources.</w:t>
      </w:r>
    </w:p>
    <w:p>
      <w:pPr>
        <w:pStyle w:val="ListBullet"/>
        <w:spacing w:after="40"/>
      </w:pPr>
      <w:r>
        <w:t>Explicit state-transition and recovery logic.</w:t>
      </w:r>
    </w:p>
    <w:p>
      <w:pPr>
        <w:pStyle w:val="ListBullet"/>
        <w:spacing w:after="40"/>
      </w:pPr>
      <w:r>
        <w:t>Integration that can govern actions before execution and capture outcomes afterward.</w:t>
      </w:r>
    </w:p>
    <w:p>
      <w:pPr>
        <w:pStyle w:val="ListBullet"/>
        <w:spacing w:after="40"/>
      </w:pPr>
      <w:r>
        <w:t>Receipts or equivalent provenance that make decisions and subsequent updates replayable.</w:t>
      </w:r>
    </w:p>
    <w:p>
      <w:r>
        <w:t>These remain engineering requirements for a production deployment. The frozen v0.70 interface does not prescribe a universal database or external event system; host applications supply the persistence and integration appropriate to their domain.</w:t>
      </w:r>
    </w:p>
    <w:p>
      <w:pPr>
        <w:pStyle w:val="Heading1"/>
        <w:keepNext/>
        <w:keepLines/>
      </w:pPr>
      <w:r>
        <w:t>12. Validate the Architecture, Not Just the Happy Path</w:t>
      </w:r>
    </w:p>
    <w:p>
      <w:r>
        <w:t>A PV-PP implementation should be tested against the structure it claims to preserve. Passing a set of ordinary cases is not enough if the architecture is intended to enforce hard constraints, state transitions, or history-dependent behavior.</w:t>
      </w:r>
    </w:p>
    <w:p>
      <w:r>
        <w:t>The initial test suite should include at least:</w:t>
      </w:r>
    </w:p>
    <w:p>
      <w:pPr>
        <w:pStyle w:val="ListBullet"/>
        <w:spacing w:after="40"/>
      </w:pPr>
      <w:r>
        <w:t>An ordinary case in which a simple scalar comparison is valid.</w:t>
      </w:r>
    </w:p>
    <w:p>
      <w:pPr>
        <w:pStyle w:val="ListBullet"/>
        <w:spacing w:after="40"/>
      </w:pPr>
      <w:r>
        <w:t>A hard-constraint case in which a favorable score must not compensate for ineligibility.</w:t>
      </w:r>
    </w:p>
    <w:p>
      <w:pPr>
        <w:pStyle w:val="ListBullet"/>
        <w:spacing w:after="40"/>
      </w:pPr>
      <w:r>
        <w:t>A threshold or state-change case in which the same option is treated differently after the state changes.</w:t>
      </w:r>
    </w:p>
    <w:p>
      <w:pPr>
        <w:pStyle w:val="ListBullet"/>
        <w:spacing w:after="40"/>
      </w:pPr>
      <w:r>
        <w:t>A missing-evidence case that requires escalation rather than invented certainty.</w:t>
      </w:r>
    </w:p>
    <w:p>
      <w:pPr>
        <w:pStyle w:val="ListBullet"/>
        <w:spacing w:after="40"/>
      </w:pPr>
      <w:r>
        <w:t>A recovery case showing what must occur before a blocked option becomes eligible again.</w:t>
      </w:r>
    </w:p>
    <w:p>
      <w:r>
        <w:t>Each test should specify the starting state, evidence, applicable rules, expected result, expected receipt, and any state update. This converts governance from a prose claim into a reproducible behavior.</w:t>
      </w:r>
    </w:p>
    <w:p>
      <w:pPr>
        <w:pStyle w:val="Heading1"/>
        <w:keepNext/>
        <w:keepLines/>
      </w:pPr>
      <w:r>
        <w:t>13. What the Program Manager Should Require</w:t>
      </w:r>
    </w:p>
    <w:p>
      <w:r>
        <w:t>The program manager is not required to write the runtime. The program manager is responsible for ensuring that the implementation package represents the intended business decision and that unresolved policy questions have not been hidden inside code or model prompts.</w:t>
      </w:r>
    </w:p>
    <w:p>
      <w:r>
        <w:t>Before accepting a bounded implementation, require answers to the following questions:</w:t>
      </w:r>
    </w:p>
    <w:p>
      <w:pPr>
        <w:pStyle w:val="ListBullet"/>
        <w:spacing w:after="40"/>
      </w:pPr>
      <w:r>
        <w:t>Is the decision surface narrow enough to test?</w:t>
      </w:r>
    </w:p>
    <w:p>
      <w:pPr>
        <w:pStyle w:val="ListBullet"/>
        <w:spacing w:after="40"/>
      </w:pPr>
      <w:r>
        <w:t>Are all governing rules traceable to authoritative sources?</w:t>
      </w:r>
    </w:p>
    <w:p>
      <w:pPr>
        <w:pStyle w:val="ListBullet"/>
        <w:spacing w:after="40"/>
      </w:pPr>
      <w:r>
        <w:t>Are hard constraints separated from comparative factors?</w:t>
      </w:r>
    </w:p>
    <w:p>
      <w:pPr>
        <w:pStyle w:val="ListBullet"/>
        <w:spacing w:after="40"/>
      </w:pPr>
      <w:r>
        <w:t>Are state transitions and recovery conditions explicit?</w:t>
      </w:r>
    </w:p>
    <w:p>
      <w:pPr>
        <w:pStyle w:val="ListBullet"/>
        <w:spacing w:after="40"/>
      </w:pPr>
      <w:r>
        <w:t>Does the system escalate when evidence or authority is missing?</w:t>
      </w:r>
    </w:p>
    <w:p>
      <w:pPr>
        <w:pStyle w:val="ListBullet"/>
        <w:spacing w:after="40"/>
      </w:pPr>
      <w:r>
        <w:t>Can every result be replayed from its receipt?</w:t>
      </w:r>
    </w:p>
    <w:p>
      <w:pPr>
        <w:pStyle w:val="ListBullet"/>
        <w:spacing w:after="40"/>
      </w:pPr>
      <w:r>
        <w:t>Are demonstrated capabilities separated from planned runtime capabilities?</w:t>
      </w:r>
    </w:p>
    <w:p>
      <w:pPr>
        <w:pStyle w:val="Heading1"/>
        <w:keepNext/>
        <w:keepLines/>
      </w:pPr>
      <w:r>
        <w:t>14. What the Current Work Does and Does Not Establish</w:t>
      </w:r>
    </w:p>
    <w:p>
      <w:r>
        <w:t>The current body of work supports a bounded path from organizational source materials to structured governance artifacts, test cases, sidecar enforcement, and executable applications using the frozen v0.70 Runtime API. It does not establish that:</w:t>
      </w:r>
    </w:p>
    <w:p>
      <w:pPr>
        <w:pStyle w:val="ListBullet"/>
        <w:spacing w:after="40"/>
      </w:pPr>
      <w:r>
        <w:t>A custom GPT can automatically produce a correct PV-PP decision system from arbitrary company documents.</w:t>
      </w:r>
    </w:p>
    <w:p>
      <w:pPr>
        <w:pStyle w:val="ListBullet"/>
        <w:spacing w:after="40"/>
      </w:pPr>
      <w:r>
        <w:t>Every part of the broader PV-PP theoretical and proof architecture has been published or independently reviewed.</w:t>
      </w:r>
    </w:p>
    <w:p>
      <w:pPr>
        <w:pStyle w:val="ListBullet"/>
        <w:spacing w:after="40"/>
      </w:pPr>
      <w:r>
        <w:t>The frozen runtime has been validated across every possible application domain or production environment.</w:t>
      </w:r>
    </w:p>
    <w:p>
      <w:pPr>
        <w:pStyle w:val="ListBullet"/>
        <w:spacing w:after="40"/>
      </w:pPr>
      <w:r>
        <w:t>The framework removes the need for domain expertise, policy authority, or evidence design.</w:t>
      </w:r>
    </w:p>
    <w:p>
      <w:r>
        <w:t>These limitations should remain visible in public positioning. The open-architecture direction is intended to make the method inspectable and extensible, not to imply that all implementation work is complete.</w:t>
      </w:r>
    </w:p>
    <w:p>
      <w:pPr>
        <w:pStyle w:val="Heading1"/>
        <w:keepNext/>
        <w:keepLines/>
      </w:pPr>
      <w:r>
        <w:t>15. Conclusion: Build the Decision Before Building the Runtime</w:t>
      </w:r>
    </w:p>
    <w:p>
      <w:r>
        <w:t>The practical use of the PV-PP framework begins with a disciplined description of one decision. The team identifies the organization’s source rules, separates admissibility and governing conditions from comparative factors, defines state and history, and specifies the order in which the decision must occur. Structured artifacts and software follow from that architecture.</w:t>
      </w:r>
    </w:p>
    <w:p>
      <w:r>
        <w:t>For many organizations, a bounded sidecar may still be the most economical deployment when full runtime integration is unnecessary. Where a live PV-PP decision cycle is required, the frozen v0.70 Runtime API now provides the common interface for that implementation. The choice should be driven by the application's actual need for persistent state, feedback, execution control, and integration.</w:t>
      </w:r>
    </w:p>
    <w:p>
      <w:r>
        <w:t>The runtime program has now moved beyond the future-runtime posture of the original June 2026 draft. Runtime Interface Freeze 1 at v0.70 establishes a stable common interface for executable PV-PP applications. Production systems may still require application-specific persistence, outcome feedback, external event integration, security, and operational controls; those requirements should be distinguished from the maturity of the common runtime interface itself.</w:t>
      </w:r>
    </w:p>
    <w:p>
      <w:pPr>
        <w:pStyle w:val="Heading1"/>
        <w:keepNext/>
        <w:keepLines/>
      </w:pPr>
      <w:r>
        <w:t>Appendix A. Bounded PV-PP Decision-System Worksheet</w:t>
      </w:r>
    </w:p>
    <w:p>
      <w:r>
        <w:t>The following worksheet can be used to begin a bounded implementation discussion. It is a design aid, not a substitute for the organization’s approval process.</w:t>
      </w:r>
    </w:p>
    <w:tbl>
      <w:tblPr>
        <w:tblStyle w:val="TableGrid"/>
        <w:tblW w:type="auto" w:w="0"/>
        <w:jc w:val="center"/>
        <w:tblLook w:firstColumn="1" w:firstRow="1" w:lastColumn="0" w:lastRow="0" w:noHBand="0" w:noVBand="1" w:val="04A0"/>
      </w:tblPr>
      <w:tblGrid>
        <w:gridCol w:w="4939"/>
        <w:gridCol w:w="4939"/>
      </w:tblGrid>
      <w:tr>
        <w:tc>
          <w:tcPr>
            <w:tcW w:type="dxa" w:w="4939"/>
            <w:vAlign w:val="center"/>
            <w:shd w:fill="1F4E78"/>
          </w:tcPr>
          <w:p>
            <w:pPr>
              <w:spacing w:after="0"/>
            </w:pPr>
            <w:r/>
            <w:r>
              <w:rPr>
                <w:rFonts w:ascii="Aptos" w:hAnsi="Aptos"/>
                <w:b/>
                <w:color w:val="FFFFFF"/>
                <w:sz w:val="18"/>
              </w:rPr>
              <w:t>Design question</w:t>
            </w:r>
          </w:p>
        </w:tc>
        <w:tc>
          <w:tcPr>
            <w:tcW w:type="dxa" w:w="4939"/>
            <w:vAlign w:val="center"/>
            <w:shd w:fill="1F4E78"/>
          </w:tcPr>
          <w:p>
            <w:pPr>
              <w:spacing w:after="0"/>
            </w:pPr>
            <w:r/>
            <w:r>
              <w:rPr>
                <w:rFonts w:ascii="Aptos" w:hAnsi="Aptos"/>
                <w:b/>
                <w:color w:val="FFFFFF"/>
                <w:sz w:val="18"/>
              </w:rPr>
              <w:t>Project answer</w:t>
            </w:r>
          </w:p>
        </w:tc>
      </w:tr>
      <w:tr>
        <w:tc>
          <w:tcPr>
            <w:tcW w:type="dxa" w:w="4939"/>
            <w:vAlign w:val="center"/>
          </w:tcPr>
          <w:p>
            <w:pPr>
              <w:spacing w:after="0"/>
            </w:pPr>
            <w:r/>
            <w:r>
              <w:rPr>
                <w:rFonts w:ascii="Aptos" w:hAnsi="Aptos"/>
                <w:b/>
                <w:sz w:val="17"/>
              </w:rPr>
              <w:t>What single decision is being governed?</w:t>
            </w:r>
          </w:p>
        </w:tc>
        <w:tc>
          <w:tcPr>
            <w:tcW w:type="dxa" w:w="4939"/>
            <w:vAlign w:val="center"/>
          </w:tcPr>
          <w:p>
            <w:pPr>
              <w:spacing w:after="0"/>
            </w:pPr>
            <w:r/>
            <w:r>
              <w:rPr>
                <w:rFonts w:ascii="Aptos" w:hAnsi="Aptos"/>
                <w:b w:val="0"/>
                <w:sz w:val="17"/>
              </w:rPr>
            </w:r>
          </w:p>
        </w:tc>
      </w:tr>
      <w:tr>
        <w:tc>
          <w:tcPr>
            <w:tcW w:type="dxa" w:w="4939"/>
            <w:vAlign w:val="center"/>
          </w:tcPr>
          <w:p>
            <w:pPr>
              <w:spacing w:after="0"/>
            </w:pPr>
            <w:r/>
            <w:r>
              <w:rPr>
                <w:rFonts w:ascii="Aptos" w:hAnsi="Aptos"/>
                <w:b/>
                <w:sz w:val="17"/>
              </w:rPr>
              <w:t>What actions may the system take?</w:t>
            </w:r>
          </w:p>
        </w:tc>
        <w:tc>
          <w:tcPr>
            <w:tcW w:type="dxa" w:w="4939"/>
            <w:vAlign w:val="center"/>
          </w:tcPr>
          <w:p>
            <w:pPr>
              <w:spacing w:after="0"/>
            </w:pPr>
            <w:r/>
            <w:r>
              <w:rPr>
                <w:rFonts w:ascii="Aptos" w:hAnsi="Aptos"/>
                <w:b w:val="0"/>
                <w:sz w:val="17"/>
              </w:rPr>
            </w:r>
          </w:p>
        </w:tc>
      </w:tr>
      <w:tr>
        <w:tc>
          <w:tcPr>
            <w:tcW w:type="dxa" w:w="4939"/>
            <w:vAlign w:val="center"/>
          </w:tcPr>
          <w:p>
            <w:pPr>
              <w:spacing w:after="0"/>
            </w:pPr>
            <w:r/>
            <w:r>
              <w:rPr>
                <w:rFonts w:ascii="Aptos" w:hAnsi="Aptos"/>
                <w:b/>
                <w:sz w:val="17"/>
              </w:rPr>
              <w:t>Which documents or authorities govern the decision?</w:t>
            </w:r>
          </w:p>
        </w:tc>
        <w:tc>
          <w:tcPr>
            <w:tcW w:type="dxa" w:w="4939"/>
            <w:vAlign w:val="center"/>
          </w:tcPr>
          <w:p>
            <w:pPr>
              <w:spacing w:after="0"/>
            </w:pPr>
            <w:r/>
            <w:r>
              <w:rPr>
                <w:rFonts w:ascii="Aptos" w:hAnsi="Aptos"/>
                <w:b w:val="0"/>
                <w:sz w:val="17"/>
              </w:rPr>
            </w:r>
          </w:p>
        </w:tc>
      </w:tr>
      <w:tr>
        <w:tc>
          <w:tcPr>
            <w:tcW w:type="dxa" w:w="4939"/>
            <w:vAlign w:val="center"/>
          </w:tcPr>
          <w:p>
            <w:pPr>
              <w:spacing w:after="0"/>
            </w:pPr>
            <w:r/>
            <w:r>
              <w:rPr>
                <w:rFonts w:ascii="Aptos" w:hAnsi="Aptos"/>
                <w:b/>
                <w:sz w:val="17"/>
              </w:rPr>
              <w:t>What evidence must be present and verified?</w:t>
            </w:r>
          </w:p>
        </w:tc>
        <w:tc>
          <w:tcPr>
            <w:tcW w:type="dxa" w:w="4939"/>
            <w:vAlign w:val="center"/>
          </w:tcPr>
          <w:p>
            <w:pPr>
              <w:spacing w:after="0"/>
            </w:pPr>
            <w:r/>
            <w:r>
              <w:rPr>
                <w:rFonts w:ascii="Aptos" w:hAnsi="Aptos"/>
                <w:b w:val="0"/>
                <w:sz w:val="17"/>
              </w:rPr>
            </w:r>
          </w:p>
        </w:tc>
      </w:tr>
      <w:tr>
        <w:tc>
          <w:tcPr>
            <w:tcW w:type="dxa" w:w="4939"/>
            <w:vAlign w:val="center"/>
          </w:tcPr>
          <w:p>
            <w:pPr>
              <w:spacing w:after="0"/>
            </w:pPr>
            <w:r/>
            <w:r>
              <w:rPr>
                <w:rFonts w:ascii="Aptos" w:hAnsi="Aptos"/>
                <w:b/>
                <w:sz w:val="17"/>
              </w:rPr>
              <w:t>Which conditions make an action inadmissible?</w:t>
            </w:r>
          </w:p>
        </w:tc>
        <w:tc>
          <w:tcPr>
            <w:tcW w:type="dxa" w:w="4939"/>
            <w:vAlign w:val="center"/>
          </w:tcPr>
          <w:p>
            <w:pPr>
              <w:spacing w:after="0"/>
            </w:pPr>
            <w:r/>
            <w:r>
              <w:rPr>
                <w:rFonts w:ascii="Aptos" w:hAnsi="Aptos"/>
                <w:b w:val="0"/>
                <w:sz w:val="17"/>
              </w:rPr>
            </w:r>
          </w:p>
        </w:tc>
      </w:tr>
      <w:tr>
        <w:tc>
          <w:tcPr>
            <w:tcW w:type="dxa" w:w="4939"/>
            <w:vAlign w:val="center"/>
          </w:tcPr>
          <w:p>
            <w:pPr>
              <w:spacing w:after="0"/>
            </w:pPr>
            <w:r/>
            <w:r>
              <w:rPr>
                <w:rFonts w:ascii="Aptos" w:hAnsi="Aptos"/>
                <w:b/>
                <w:sz w:val="17"/>
              </w:rPr>
              <w:t>Which conditions select the governing path?</w:t>
            </w:r>
          </w:p>
        </w:tc>
        <w:tc>
          <w:tcPr>
            <w:tcW w:type="dxa" w:w="4939"/>
            <w:vAlign w:val="center"/>
          </w:tcPr>
          <w:p>
            <w:pPr>
              <w:spacing w:after="0"/>
            </w:pPr>
            <w:r/>
            <w:r>
              <w:rPr>
                <w:rFonts w:ascii="Aptos" w:hAnsi="Aptos"/>
                <w:b w:val="0"/>
                <w:sz w:val="17"/>
              </w:rPr>
            </w:r>
          </w:p>
        </w:tc>
      </w:tr>
      <w:tr>
        <w:tc>
          <w:tcPr>
            <w:tcW w:type="dxa" w:w="4939"/>
            <w:vAlign w:val="center"/>
          </w:tcPr>
          <w:p>
            <w:pPr>
              <w:spacing w:after="0"/>
            </w:pPr>
            <w:r/>
            <w:r>
              <w:rPr>
                <w:rFonts w:ascii="Aptos" w:hAnsi="Aptos"/>
                <w:b/>
                <w:sz w:val="17"/>
              </w:rPr>
              <w:t>Which factors may legitimately be compared or scored?</w:t>
            </w:r>
          </w:p>
        </w:tc>
        <w:tc>
          <w:tcPr>
            <w:tcW w:type="dxa" w:w="4939"/>
            <w:vAlign w:val="center"/>
          </w:tcPr>
          <w:p>
            <w:pPr>
              <w:spacing w:after="0"/>
            </w:pPr>
            <w:r/>
            <w:r>
              <w:rPr>
                <w:rFonts w:ascii="Aptos" w:hAnsi="Aptos"/>
                <w:b w:val="0"/>
                <w:sz w:val="17"/>
              </w:rPr>
            </w:r>
          </w:p>
        </w:tc>
      </w:tr>
      <w:tr>
        <w:tc>
          <w:tcPr>
            <w:tcW w:type="dxa" w:w="4939"/>
            <w:vAlign w:val="center"/>
          </w:tcPr>
          <w:p>
            <w:pPr>
              <w:spacing w:after="0"/>
            </w:pPr>
            <w:r/>
            <w:r>
              <w:rPr>
                <w:rFonts w:ascii="Aptos" w:hAnsi="Aptos"/>
                <w:b/>
                <w:sz w:val="17"/>
              </w:rPr>
              <w:t>What states exist, and what causes transitions?</w:t>
            </w:r>
          </w:p>
        </w:tc>
        <w:tc>
          <w:tcPr>
            <w:tcW w:type="dxa" w:w="4939"/>
            <w:vAlign w:val="center"/>
          </w:tcPr>
          <w:p>
            <w:pPr>
              <w:spacing w:after="0"/>
            </w:pPr>
            <w:r/>
            <w:r>
              <w:rPr>
                <w:rFonts w:ascii="Aptos" w:hAnsi="Aptos"/>
                <w:b w:val="0"/>
                <w:sz w:val="17"/>
              </w:rPr>
            </w:r>
          </w:p>
        </w:tc>
      </w:tr>
      <w:tr>
        <w:tc>
          <w:tcPr>
            <w:tcW w:type="dxa" w:w="4939"/>
            <w:vAlign w:val="center"/>
          </w:tcPr>
          <w:p>
            <w:pPr>
              <w:spacing w:after="0"/>
            </w:pPr>
            <w:r/>
            <w:r>
              <w:rPr>
                <w:rFonts w:ascii="Aptos" w:hAnsi="Aptos"/>
                <w:b/>
                <w:sz w:val="17"/>
              </w:rPr>
              <w:t>What history must be retained?</w:t>
            </w:r>
          </w:p>
        </w:tc>
        <w:tc>
          <w:tcPr>
            <w:tcW w:type="dxa" w:w="4939"/>
            <w:vAlign w:val="center"/>
          </w:tcPr>
          <w:p>
            <w:pPr>
              <w:spacing w:after="0"/>
            </w:pPr>
            <w:r/>
            <w:r>
              <w:rPr>
                <w:rFonts w:ascii="Aptos" w:hAnsi="Aptos"/>
                <w:b w:val="0"/>
                <w:sz w:val="17"/>
              </w:rPr>
            </w:r>
          </w:p>
        </w:tc>
      </w:tr>
      <w:tr>
        <w:tc>
          <w:tcPr>
            <w:tcW w:type="dxa" w:w="4939"/>
            <w:vAlign w:val="center"/>
          </w:tcPr>
          <w:p>
            <w:pPr>
              <w:spacing w:after="0"/>
            </w:pPr>
            <w:r/>
            <w:r>
              <w:rPr>
                <w:rFonts w:ascii="Aptos" w:hAnsi="Aptos"/>
                <w:b/>
                <w:sz w:val="17"/>
              </w:rPr>
              <w:t>What result and reasoning must appear in the receipt?</w:t>
            </w:r>
          </w:p>
        </w:tc>
        <w:tc>
          <w:tcPr>
            <w:tcW w:type="dxa" w:w="4939"/>
            <w:vAlign w:val="center"/>
          </w:tcPr>
          <w:p>
            <w:pPr>
              <w:spacing w:after="0"/>
            </w:pPr>
            <w:r/>
            <w:r>
              <w:rPr>
                <w:rFonts w:ascii="Aptos" w:hAnsi="Aptos"/>
                <w:b w:val="0"/>
                <w:sz w:val="17"/>
              </w:rPr>
            </w:r>
          </w:p>
        </w:tc>
      </w:tr>
      <w:tr>
        <w:tc>
          <w:tcPr>
            <w:tcW w:type="dxa" w:w="4939"/>
            <w:vAlign w:val="center"/>
          </w:tcPr>
          <w:p>
            <w:pPr>
              <w:spacing w:after="0"/>
            </w:pPr>
            <w:r/>
            <w:r>
              <w:rPr>
                <w:rFonts w:ascii="Aptos" w:hAnsi="Aptos"/>
                <w:b/>
                <w:sz w:val="17"/>
              </w:rPr>
              <w:t>What tests demonstrate normal, boundary, failure, and recovery behavior?</w:t>
            </w:r>
          </w:p>
        </w:tc>
        <w:tc>
          <w:tcPr>
            <w:tcW w:type="dxa" w:w="4939"/>
            <w:vAlign w:val="center"/>
          </w:tcPr>
          <w:p>
            <w:pPr>
              <w:spacing w:after="0"/>
            </w:pPr>
            <w:r/>
            <w:r>
              <w:rPr>
                <w:rFonts w:ascii="Aptos" w:hAnsi="Aptos"/>
                <w:b w:val="0"/>
                <w:sz w:val="17"/>
              </w:rPr>
            </w:r>
          </w:p>
        </w:tc>
      </w:tr>
      <w:tr>
        <w:tc>
          <w:tcPr>
            <w:tcW w:type="dxa" w:w="4939"/>
            <w:vAlign w:val="center"/>
          </w:tcPr>
          <w:p>
            <w:r>
              <w:t>Will the first deployment be offline, sidecar, or runtime-integrated?</w:t>
            </w:r>
          </w:p>
        </w:tc>
        <w:tc>
          <w:tcPr>
            <w:tcW w:type="dxa" w:w="4939"/>
            <w:vAlign w:val="center"/>
          </w:tcPr>
          <w:p>
            <w:pPr>
              <w:spacing w:after="0"/>
            </w:pPr>
            <w:r/>
            <w:r>
              <w:rPr>
                <w:rFonts w:ascii="Aptos" w:hAnsi="Aptos"/>
                <w:b w:val="0"/>
                <w:sz w:val="17"/>
              </w:rPr>
            </w:r>
          </w:p>
        </w:tc>
      </w:tr>
    </w:tbl>
    <w:p>
      <w:pPr>
        <w:pStyle w:val="Heading1"/>
        <w:keepNext/>
        <w:keepLines/>
      </w:pPr>
      <w:r>
        <w:t>About the Series and Technical Status</w:t>
      </w:r>
    </w:p>
    <w:p>
      <w:r>
        <w:t>This four-paper series explains scalar aggregation, its validity boundaries, architecture selection, and a bounded implementation path for structured decision systems. The scalar-boundary claims are based on completed internal technical analysis that has not yet received independent external peer review. Since the original June 2026 drafts, the PV-PP Runtime API has reached Runtime Interface Freeze 1 at v0.70, supported by regression testing, developer documentation, and a native reference application. Broader framework publication and controlled proof release remain ongoing.</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6"/>
      </w:rPr>
      <w:t>Productive Value-Productive Power (PV-PP) framework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595959"/>
        <w:sz w:val="16"/>
      </w:rPr>
      <w:t>PV-PP SCALAR AGGREGATION WHITE PAPER SERIES  |  WHITE PAPER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F374E"/>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374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74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95959"/>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basedOn w:val="Normal"/>
    <w:pPr>
      <w:spacing w:before="100" w:after="140"/>
      <w:ind w:left="360" w:right="288"/>
    </w:pPr>
    <w:rPr>
      <w:rFonts w:ascii="Aptos" w:hAnsi="Aptos"/>
      <w:i/>
      <w:color w:val="1F374E"/>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Design a PV-PP Decision System</dc:title>
  <dc:subject>White Paper 4 of the PV-PP Scalar Aggregation White Paper Series</dc:subject>
  <dc:creator>Lance Amundsen</dc:creator>
  <cp:keywords>PV-PP, AI agents, decision architecture, governance sidecar, runtime, scalar aggregation</cp:keywords>
  <dc:description>First-pass working draft for internal review</dc:description>
  <cp:lastModifiedBy/>
  <cp:revision>1</cp:revision>
  <dcterms:created xsi:type="dcterms:W3CDTF">2013-12-23T23:15:00Z</dcterms:created>
  <dcterms:modified xsi:type="dcterms:W3CDTF">2013-12-23T23:15:00Z</dcterms:modified>
  <cp:category/>
</cp:coreProperties>
</file>