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pPr>
      <w:r>
        <w:rPr>
          <w:rFonts w:ascii="Aptos Display" w:hAnsi="Aptos Display" w:eastAsia="Aptos Display"/>
          <w:b/>
          <w:color w:val="123B5D"/>
          <w:sz w:val="44"/>
        </w:rPr>
        <w:t>PV–PP Framework — Grenade Benchmark Specification</w:t>
      </w:r>
    </w:p>
    <w:p>
      <w:pPr>
        <w:spacing w:after="200" w:line="240" w:lineRule="auto"/>
      </w:pPr>
      <w:r>
        <w:rPr>
          <w:color w:val="4D5966"/>
          <w:sz w:val="21"/>
        </w:rPr>
        <w:t>Repository-facing operational specification for the grenade self-sacrifice benchmark</w:t>
        <w:br/>
        <w:t>Version 1.1 | Revised publication-facing Word release</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4968"/>
        <w:gridCol w:w="4968"/>
      </w:tblGrid>
      <w:tr>
        <w:trPr>
          <w:cantSplit/>
        </w:trPr>
        <w:tc>
          <w:tcPr>
            <w:tcW w:type="dxa" w:w="2232"/>
            <w:vAlign w:val="center"/>
            <w:tcMar>
              <w:top w:w="70" w:type="dxa"/>
              <w:start w:w="90" w:type="dxa"/>
              <w:bottom w:w="70" w:type="dxa"/>
              <w:end w:w="90" w:type="dxa"/>
            </w:tcMar>
            <w:shd w:fill="EAF1F7"/>
          </w:tcPr>
          <w:p>
            <w:r>
              <w:rPr>
                <w:b/>
                <w:sz w:val="19"/>
              </w:rPr>
              <w:t>Repository role</w:t>
            </w:r>
          </w:p>
        </w:tc>
        <w:tc>
          <w:tcPr>
            <w:tcW w:type="dxa" w:w="7128"/>
            <w:vAlign w:val="center"/>
            <w:tcMar>
              <w:top w:w="70" w:type="dxa"/>
              <w:start w:w="90" w:type="dxa"/>
              <w:bottom w:w="70" w:type="dxa"/>
              <w:end w:w="90" w:type="dxa"/>
            </w:tcMar>
          </w:tcPr>
          <w:p>
            <w:r>
              <w:rPr>
                <w:sz w:val="19"/>
              </w:rPr>
              <w:t>Primary benchmark specification for the grenade self-sacrifice component.</w:t>
            </w:r>
          </w:p>
        </w:tc>
      </w:tr>
      <w:tr>
        <w:trPr>
          <w:cantSplit/>
        </w:trPr>
        <w:tc>
          <w:tcPr>
            <w:tcW w:type="dxa" w:w="2232"/>
            <w:vAlign w:val="center"/>
            <w:tcMar>
              <w:top w:w="70" w:type="dxa"/>
              <w:start w:w="90" w:type="dxa"/>
              <w:bottom w:w="70" w:type="dxa"/>
              <w:end w:w="90" w:type="dxa"/>
            </w:tcMar>
            <w:shd w:fill="EAF1F7"/>
          </w:tcPr>
          <w:p>
            <w:r>
              <w:rPr>
                <w:b/>
                <w:sz w:val="19"/>
              </w:rPr>
              <w:t>Document purpose</w:t>
            </w:r>
          </w:p>
        </w:tc>
        <w:tc>
          <w:tcPr>
            <w:tcW w:type="dxa" w:w="7128"/>
            <w:vAlign w:val="center"/>
            <w:tcMar>
              <w:top w:w="70" w:type="dxa"/>
              <w:start w:w="90" w:type="dxa"/>
              <w:bottom w:w="70" w:type="dxa"/>
              <w:end w:w="90" w:type="dxa"/>
            </w:tcMar>
          </w:tcPr>
          <w:p>
            <w:r>
              <w:rPr>
                <w:sz w:val="19"/>
              </w:rPr>
              <w:t>Define the benchmark environment, comparator discipline, benchmark classes, governing logic, and reporting expectations in one stable implementation-facing document.</w:t>
            </w:r>
          </w:p>
        </w:tc>
      </w:tr>
      <w:tr>
        <w:trPr>
          <w:cantSplit/>
        </w:trPr>
        <w:tc>
          <w:tcPr>
            <w:tcW w:type="dxa" w:w="2232"/>
            <w:vAlign w:val="center"/>
            <w:tcMar>
              <w:top w:w="70" w:type="dxa"/>
              <w:start w:w="90" w:type="dxa"/>
              <w:bottom w:w="70" w:type="dxa"/>
              <w:end w:w="90" w:type="dxa"/>
            </w:tcMar>
            <w:shd w:fill="EAF1F7"/>
          </w:tcPr>
          <w:p>
            <w:r>
              <w:rPr>
                <w:b/>
                <w:sz w:val="19"/>
              </w:rPr>
              <w:t>Primary audience</w:t>
            </w:r>
          </w:p>
        </w:tc>
        <w:tc>
          <w:tcPr>
            <w:tcW w:type="dxa" w:w="7128"/>
            <w:vAlign w:val="center"/>
            <w:tcMar>
              <w:top w:w="70" w:type="dxa"/>
              <w:start w:w="90" w:type="dxa"/>
              <w:bottom w:w="70" w:type="dxa"/>
              <w:end w:w="90" w:type="dxa"/>
            </w:tcMar>
          </w:tcPr>
          <w:p>
            <w:r>
              <w:rPr>
                <w:sz w:val="19"/>
              </w:rPr>
              <w:t>Readers who need an operational benchmark description without reading code first.</w:t>
            </w:r>
          </w:p>
        </w:tc>
      </w:tr>
      <w:tr>
        <w:trPr>
          <w:cantSplit/>
        </w:trPr>
        <w:tc>
          <w:tcPr>
            <w:tcW w:type="dxa" w:w="2232"/>
            <w:vAlign w:val="center"/>
            <w:tcMar>
              <w:top w:w="70" w:type="dxa"/>
              <w:start w:w="90" w:type="dxa"/>
              <w:bottom w:w="70" w:type="dxa"/>
              <w:end w:w="90" w:type="dxa"/>
            </w:tcMar>
            <w:shd w:fill="EAF1F7"/>
          </w:tcPr>
          <w:p>
            <w:r>
              <w:rPr>
                <w:b/>
                <w:sz w:val="19"/>
              </w:rPr>
              <w:t>Read with</w:t>
            </w:r>
          </w:p>
        </w:tc>
        <w:tc>
          <w:tcPr>
            <w:tcW w:type="dxa" w:w="7128"/>
            <w:vAlign w:val="center"/>
            <w:tcMar>
              <w:top w:w="70" w:type="dxa"/>
              <w:start w:w="90" w:type="dxa"/>
              <w:bottom w:w="70" w:type="dxa"/>
              <w:end w:w="90" w:type="dxa"/>
            </w:tcMar>
          </w:tcPr>
          <w:p>
            <w:r>
              <w:rPr>
                <w:sz w:val="19"/>
              </w:rPr>
              <w:t>PVPP Framework Benchmark Note; benchmark results summary; limitations; replay-schema and repository overview files.</w:t>
            </w:r>
          </w:p>
        </w:tc>
      </w:tr>
    </w:tbl>
    <w:p/>
    <w:p>
      <w:pPr>
        <w:pStyle w:val="Heading1"/>
      </w:pPr>
      <w:r>
        <w:t>Executive Summary</w:t>
      </w:r>
    </w:p>
    <w:p>
      <w:r>
        <w:t>This document defines the grenade benchmark as an operational comparison between two decision architectures placed in the same 12×12 rescue-and-extraction environment: a PV–PP implementation and a self-preserving scalar baseline.</w:t>
      </w:r>
    </w:p>
    <w:p>
      <w:r>
        <w:t>The benchmark is intentionally narrow. Its job is to test whether the two models largely coincide in easier or lower-pressure conditions, and whether they diverge in compressed grenade-bearing states where direct center-square sacrificial protection becomes decision-relevant.</w:t>
      </w:r>
    </w:p>
    <w:p>
      <w:r>
        <w:t>This specification does not attempt to prove the full PV–PP framework, settle the scalar-reduction program, or claim that all scalar formulations fail in sacrificial settings. It defines one disciplined scenario family, one comparator discipline, and one repository-stable benchmark surface.</w:t>
      </w:r>
    </w:p>
    <w:p>
      <w:pPr>
        <w:pStyle w:val="Heading1"/>
      </w:pPr>
      <w:r>
        <w:t>Core Benchmark Question</w:t>
      </w:r>
    </w:p>
    <w:p>
      <w:r>
        <w:t>In a matched 12×12 rescue-and-extraction environment with shared movement, terrain elevation, cover, background enemy fire, recovery, withdrawal, and grenade dynamics, do PV–PP and a self-preserving scalar comparator coincide in easier cases, and does PV–PP diverge in compressed governing-critical grenade cases because it can admit a direct center-square sacrificial protection policy that the baseline does not?</w:t>
      </w:r>
    </w:p>
    <w:p>
      <w:r>
        <w:t>A narrower reading is whether the architecture can discriminate among irrelevant grenade events, dangerous but escapable grenade events, damaging but non-governing grenade events, and compressed governing-critical grenade events such that sacrificial blast absorption appears only in the narrow class of states where it becomes the only adequate preserving policy for the operative squad-level structure.</w:t>
      </w:r>
    </w:p>
    <w:p>
      <w:pPr>
        <w:pStyle w:val="Heading1"/>
      </w:pPr>
      <w:r>
        <w:t>Comparator Discipline and Scope</w:t>
      </w:r>
    </w:p>
    <w:p>
      <w:r>
        <w:t>The benchmark compares two architectures operating in the same simulated environment:</w:t>
      </w:r>
    </w:p>
    <w:p>
      <w:pPr>
        <w:pStyle w:val="ListBullet"/>
        <w:spacing w:after="40"/>
        <w:ind w:left="288"/>
      </w:pPr>
      <w:r>
        <w:rPr>
          <w:sz w:val="20"/>
        </w:rPr>
        <w:t>pvpp</w:t>
      </w:r>
    </w:p>
    <w:p>
      <w:pPr>
        <w:pStyle w:val="ListBullet"/>
        <w:spacing w:after="40"/>
        <w:ind w:left="288"/>
      </w:pPr>
      <w:r>
        <w:rPr>
          <w:sz w:val="20"/>
        </w:rPr>
        <w:t>baseline_self_preserving</w:t>
      </w:r>
    </w:p>
    <w:p>
      <w:r>
        <w:t>Both models share the same map, terrain-height structure, cover distribution, objective and extraction geometry, movement constraints, enemy-fire process, grenade process, and burden / withdrawal mechanics. The difference is therefore architectural rather than environmental.</w:t>
      </w:r>
    </w:p>
    <w:p>
      <w:r>
        <w:t>The comparator used here is intentionally narrow: a self-preserving scalar baseline. That matters. This benchmark does not compare PV–PP against every possible scalar construction. A scalar model can be written with enough weighting, hierarchy, or hand-tuned exception structure to make sacrifice utility-maximizing. The repository claim is narrower: relative to this self-preserving scalar comparator, PV–PP can admit direct center-square sacrificial smothering while the baseline does not.</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4968"/>
        <w:gridCol w:w="4968"/>
      </w:tblGrid>
      <w:tr>
        <w:trPr>
          <w:tblHeader w:val="true"/>
          <w:cantSplit/>
        </w:trPr>
        <w:tc>
          <w:tcPr>
            <w:tcW w:type="dxa" w:w="4536"/>
            <w:shd w:fill="DCE6F1"/>
            <w:vAlign w:val="center"/>
            <w:tcMar>
              <w:top w:w="75" w:type="dxa"/>
              <w:start w:w="95" w:type="dxa"/>
              <w:bottom w:w="75" w:type="dxa"/>
              <w:end w:w="95" w:type="dxa"/>
            </w:tcMar>
          </w:tcPr>
          <w:p>
            <w:pPr>
              <w:jc w:val="center"/>
            </w:pPr>
            <w:r>
              <w:rPr>
                <w:b/>
                <w:sz w:val="18"/>
              </w:rPr>
              <w:t>Intended to show</w:t>
            </w:r>
          </w:p>
        </w:tc>
        <w:tc>
          <w:tcPr>
            <w:tcW w:type="dxa" w:w="4536"/>
            <w:shd w:fill="DCE6F1"/>
            <w:vAlign w:val="center"/>
            <w:tcMar>
              <w:top w:w="75" w:type="dxa"/>
              <w:start w:w="95" w:type="dxa"/>
              <w:bottom w:w="75" w:type="dxa"/>
              <w:end w:w="95" w:type="dxa"/>
            </w:tcMar>
          </w:tcPr>
          <w:p>
            <w:pPr>
              <w:jc w:val="left"/>
            </w:pPr>
            <w:r>
              <w:rPr>
                <w:b/>
                <w:sz w:val="18"/>
              </w:rPr>
              <w:t>Not intended to show</w:t>
            </w:r>
          </w:p>
        </w:tc>
      </w:tr>
      <w:tr>
        <w:trPr>
          <w:cantSplit/>
        </w:trPr>
        <w:tc>
          <w:tcPr>
            <w:tcW w:type="dxa" w:w="4536"/>
            <w:vAlign w:val="center"/>
            <w:tcMar>
              <w:top w:w="70" w:type="dxa"/>
              <w:start w:w="90" w:type="dxa"/>
              <w:bottom w:w="70" w:type="dxa"/>
              <w:end w:w="90" w:type="dxa"/>
            </w:tcMar>
            <w:shd w:fill="F6F8FA"/>
          </w:tcPr>
          <w:p>
            <w:pPr>
              <w:spacing w:after="20" w:line="259" w:lineRule="auto"/>
              <w:jc w:val="left"/>
            </w:pPr>
            <w:r>
              <w:rPr>
                <w:sz w:val="18"/>
              </w:rPr>
              <w:t>PV–PP and the scalar self-preserving baseline converge in easy or low-pressure cases.</w:t>
            </w:r>
          </w:p>
        </w:tc>
        <w:tc>
          <w:tcPr>
            <w:tcW w:type="dxa" w:w="4536"/>
            <w:vAlign w:val="center"/>
            <w:tcMar>
              <w:top w:w="70" w:type="dxa"/>
              <w:start w:w="90" w:type="dxa"/>
              <w:bottom w:w="70" w:type="dxa"/>
              <w:end w:w="90" w:type="dxa"/>
            </w:tcMar>
          </w:tcPr>
          <w:p>
            <w:pPr>
              <w:spacing w:after="20" w:line="259" w:lineRule="auto"/>
              <w:jc w:val="left"/>
            </w:pPr>
            <w:r>
              <w:rPr>
                <w:sz w:val="18"/>
              </w:rPr>
              <w:t>Scalar reasoning in general cannot represent self-sacrifice.</w:t>
            </w:r>
          </w:p>
        </w:tc>
      </w:tr>
      <w:tr>
        <w:trPr>
          <w:cantSplit/>
        </w:trPr>
        <w:tc>
          <w:tcPr>
            <w:tcW w:type="dxa" w:w="4536"/>
            <w:vAlign w:val="center"/>
            <w:tcMar>
              <w:top w:w="70" w:type="dxa"/>
              <w:start w:w="90" w:type="dxa"/>
              <w:bottom w:w="70" w:type="dxa"/>
              <w:end w:w="90" w:type="dxa"/>
            </w:tcMar>
            <w:shd w:fill="F6F8FA"/>
          </w:tcPr>
          <w:p>
            <w:pPr>
              <w:spacing w:after="20" w:line="259" w:lineRule="auto"/>
              <w:jc w:val="left"/>
            </w:pPr>
            <w:r>
              <w:rPr>
                <w:sz w:val="18"/>
              </w:rPr>
              <w:t>PV–PP can diverge in compressed grenade-bearing cases.</w:t>
            </w:r>
          </w:p>
        </w:tc>
        <w:tc>
          <w:tcPr>
            <w:tcW w:type="dxa" w:w="4536"/>
            <w:vAlign w:val="center"/>
            <w:tcMar>
              <w:top w:w="70" w:type="dxa"/>
              <w:start w:w="90" w:type="dxa"/>
              <w:bottom w:w="70" w:type="dxa"/>
              <w:end w:w="90" w:type="dxa"/>
            </w:tcMar>
          </w:tcPr>
          <w:p>
            <w:pPr>
              <w:spacing w:after="20" w:line="259" w:lineRule="auto"/>
              <w:jc w:val="left"/>
            </w:pPr>
            <w:r>
              <w:rPr>
                <w:sz w:val="18"/>
              </w:rPr>
              <w:t>PV–PP has already been shown to reduce to scalar aggregation in every scalar-valid environment.</w:t>
            </w:r>
          </w:p>
        </w:tc>
      </w:tr>
      <w:tr>
        <w:trPr>
          <w:cantSplit/>
        </w:trPr>
        <w:tc>
          <w:tcPr>
            <w:tcW w:type="dxa" w:w="4536"/>
            <w:vAlign w:val="center"/>
            <w:tcMar>
              <w:top w:w="70" w:type="dxa"/>
              <w:start w:w="90" w:type="dxa"/>
              <w:bottom w:w="70" w:type="dxa"/>
              <w:end w:w="90" w:type="dxa"/>
            </w:tcMar>
            <w:shd w:fill="F6F8FA"/>
          </w:tcPr>
          <w:p>
            <w:pPr>
              <w:spacing w:after="20" w:line="259" w:lineRule="auto"/>
              <w:jc w:val="left"/>
            </w:pPr>
            <w:r>
              <w:rPr>
                <w:sz w:val="18"/>
              </w:rPr>
              <w:t>Any benchmark divergence is tied to comparator discipline and the benchmark’s governing-structure logic.</w:t>
            </w:r>
          </w:p>
        </w:tc>
        <w:tc>
          <w:tcPr>
            <w:tcW w:type="dxa" w:w="4536"/>
            <w:vAlign w:val="center"/>
            <w:tcMar>
              <w:top w:w="70" w:type="dxa"/>
              <w:start w:w="90" w:type="dxa"/>
              <w:bottom w:w="70" w:type="dxa"/>
              <w:end w:w="90" w:type="dxa"/>
            </w:tcMar>
          </w:tcPr>
          <w:p>
            <w:pPr>
              <w:spacing w:after="20" w:line="259" w:lineRule="auto"/>
              <w:jc w:val="left"/>
            </w:pPr>
            <w:r>
              <w:rPr>
                <w:sz w:val="18"/>
              </w:rPr>
              <w:t>The benchmark proves the full PV–PP theory.</w:t>
            </w:r>
          </w:p>
        </w:tc>
      </w:tr>
      <w:tr>
        <w:trPr>
          <w:cantSplit/>
        </w:trPr>
        <w:tc>
          <w:tcPr>
            <w:tcW w:type="dxa" w:w="4536"/>
            <w:vAlign w:val="center"/>
            <w:tcMar>
              <w:top w:w="70" w:type="dxa"/>
              <w:start w:w="90" w:type="dxa"/>
              <w:bottom w:w="70" w:type="dxa"/>
              <w:end w:w="90" w:type="dxa"/>
            </w:tcMar>
            <w:shd w:fill="F6F8FA"/>
          </w:tcPr>
          <w:p>
            <w:pPr>
              <w:spacing w:after="20" w:line="259" w:lineRule="auto"/>
              <w:jc w:val="left"/>
            </w:pPr>
            <w:r>
              <w:rPr>
                <w:sz w:val="18"/>
              </w:rPr>
              <w:t>Sacrifice should appear only in narrow cases where non-sacrificial alternatives fail feasibility or adequacy.</w:t>
            </w:r>
          </w:p>
        </w:tc>
        <w:tc>
          <w:tcPr>
            <w:tcW w:type="dxa" w:w="4536"/>
            <w:vAlign w:val="center"/>
            <w:tcMar>
              <w:top w:w="70" w:type="dxa"/>
              <w:start w:w="90" w:type="dxa"/>
              <w:bottom w:w="70" w:type="dxa"/>
              <w:end w:w="90" w:type="dxa"/>
            </w:tcMar>
          </w:tcPr>
          <w:p>
            <w:pPr>
              <w:spacing w:after="20" w:line="259" w:lineRule="auto"/>
              <w:jc w:val="left"/>
            </w:pPr>
            <w:r>
              <w:rPr>
                <w:sz w:val="18"/>
              </w:rPr>
              <w:t>PV–PP universally outperforms all scalar formulations or is superior on every casualty or welfare metric.</w:t>
            </w:r>
          </w:p>
        </w:tc>
      </w:tr>
    </w:tbl>
    <w:p/>
    <w:p>
      <w:pPr>
        <w:pStyle w:val="Heading1"/>
      </w:pPr>
      <w:r>
        <w:t>Shared and Non-Shared Policy Space</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3312"/>
        <w:gridCol w:w="3312"/>
        <w:gridCol w:w="3312"/>
      </w:tblGrid>
      <w:tr>
        <w:trPr>
          <w:tblHeader w:val="true"/>
          <w:cantSplit/>
        </w:trPr>
        <w:tc>
          <w:tcPr>
            <w:tcW w:type="dxa" w:w="2592"/>
            <w:shd w:fill="DCE6F1"/>
            <w:vAlign w:val="center"/>
            <w:tcMar>
              <w:top w:w="75" w:type="dxa"/>
              <w:start w:w="95" w:type="dxa"/>
              <w:bottom w:w="75" w:type="dxa"/>
              <w:end w:w="95" w:type="dxa"/>
            </w:tcMar>
          </w:tcPr>
          <w:p>
            <w:pPr>
              <w:jc w:val="left"/>
            </w:pPr>
            <w:r>
              <w:rPr>
                <w:b/>
                <w:sz w:val="18"/>
              </w:rPr>
              <w:t>Protective behavior</w:t>
            </w:r>
          </w:p>
        </w:tc>
        <w:tc>
          <w:tcPr>
            <w:tcW w:type="dxa" w:w="1152"/>
            <w:shd w:fill="DCE6F1"/>
            <w:vAlign w:val="center"/>
            <w:tcMar>
              <w:top w:w="75" w:type="dxa"/>
              <w:start w:w="95" w:type="dxa"/>
              <w:bottom w:w="75" w:type="dxa"/>
              <w:end w:w="95" w:type="dxa"/>
            </w:tcMar>
          </w:tcPr>
          <w:p>
            <w:pPr>
              <w:jc w:val="center"/>
            </w:pPr>
            <w:r>
              <w:rPr>
                <w:b/>
                <w:sz w:val="18"/>
              </w:rPr>
              <w:t>Shared?</w:t>
            </w:r>
          </w:p>
        </w:tc>
        <w:tc>
          <w:tcPr>
            <w:tcW w:type="dxa" w:w="5328"/>
            <w:shd w:fill="DCE6F1"/>
            <w:vAlign w:val="center"/>
            <w:tcMar>
              <w:top w:w="75" w:type="dxa"/>
              <w:start w:w="95" w:type="dxa"/>
              <w:bottom w:w="75" w:type="dxa"/>
              <w:end w:w="95" w:type="dxa"/>
            </w:tcMar>
          </w:tcPr>
          <w:p>
            <w:pPr>
              <w:jc w:val="left"/>
            </w:pPr>
            <w:r>
              <w:rPr>
                <w:b/>
                <w:sz w:val="18"/>
              </w:rPr>
              <w:t>Meaning in the benchmark</w:t>
            </w:r>
          </w:p>
        </w:tc>
      </w:tr>
      <w:tr>
        <w:trPr>
          <w:cantSplit/>
        </w:trPr>
        <w:tc>
          <w:tcPr>
            <w:tcW w:type="dxa" w:w="2592"/>
            <w:vAlign w:val="center"/>
            <w:tcMar>
              <w:top w:w="70" w:type="dxa"/>
              <w:start w:w="90" w:type="dxa"/>
              <w:bottom w:w="70" w:type="dxa"/>
              <w:end w:w="90" w:type="dxa"/>
            </w:tcMar>
            <w:shd w:fill="F6F8FA"/>
          </w:tcPr>
          <w:p>
            <w:pPr>
              <w:spacing w:after="20" w:line="259" w:lineRule="auto"/>
              <w:jc w:val="left"/>
            </w:pPr>
            <w:r>
              <w:rPr>
                <w:sz w:val="18"/>
              </w:rPr>
              <w:t>Carrier-adjacent shielding</w:t>
            </w:r>
          </w:p>
        </w:tc>
        <w:tc>
          <w:tcPr>
            <w:tcW w:type="dxa" w:w="1152"/>
            <w:vAlign w:val="center"/>
            <w:tcMar>
              <w:top w:w="70" w:type="dxa"/>
              <w:start w:w="90" w:type="dxa"/>
              <w:bottom w:w="70" w:type="dxa"/>
              <w:end w:w="90" w:type="dxa"/>
            </w:tcMar>
          </w:tcPr>
          <w:p>
            <w:pPr>
              <w:spacing w:after="20" w:line="259" w:lineRule="auto"/>
              <w:jc w:val="center"/>
            </w:pPr>
            <w:r>
              <w:rPr>
                <w:sz w:val="18"/>
              </w:rPr>
              <w:t>Yes</w:t>
            </w:r>
          </w:p>
        </w:tc>
        <w:tc>
          <w:tcPr>
            <w:tcW w:type="dxa" w:w="5328"/>
            <w:vAlign w:val="center"/>
            <w:tcMar>
              <w:top w:w="70" w:type="dxa"/>
              <w:start w:w="90" w:type="dxa"/>
              <w:bottom w:w="70" w:type="dxa"/>
              <w:end w:w="90" w:type="dxa"/>
            </w:tcMar>
          </w:tcPr>
          <w:p>
            <w:pPr>
              <w:spacing w:after="20" w:line="259" w:lineRule="auto"/>
              <w:jc w:val="left"/>
            </w:pPr>
            <w:r>
              <w:rPr>
                <w:sz w:val="18"/>
              </w:rPr>
              <w:t>If the carrier is already adjacent to a grenade and the recoveree is endangered, both PV–PP and the scalar baseline may shield.</w:t>
            </w:r>
          </w:p>
        </w:tc>
      </w:tr>
      <w:tr>
        <w:trPr>
          <w:cantSplit/>
        </w:trPr>
        <w:tc>
          <w:tcPr>
            <w:tcW w:type="dxa" w:w="2592"/>
            <w:vAlign w:val="center"/>
            <w:tcMar>
              <w:top w:w="70" w:type="dxa"/>
              <w:start w:w="90" w:type="dxa"/>
              <w:bottom w:w="70" w:type="dxa"/>
              <w:end w:w="90" w:type="dxa"/>
            </w:tcMar>
            <w:shd w:fill="F6F8FA"/>
          </w:tcPr>
          <w:p>
            <w:pPr>
              <w:spacing w:after="20" w:line="259" w:lineRule="auto"/>
              <w:jc w:val="left"/>
            </w:pPr>
            <w:r>
              <w:rPr>
                <w:sz w:val="18"/>
              </w:rPr>
              <w:t>Direct center-square smothering</w:t>
            </w:r>
          </w:p>
        </w:tc>
        <w:tc>
          <w:tcPr>
            <w:tcW w:type="dxa" w:w="1152"/>
            <w:vAlign w:val="center"/>
            <w:tcMar>
              <w:top w:w="70" w:type="dxa"/>
              <w:start w:w="90" w:type="dxa"/>
              <w:bottom w:w="70" w:type="dxa"/>
              <w:end w:w="90" w:type="dxa"/>
            </w:tcMar>
          </w:tcPr>
          <w:p>
            <w:pPr>
              <w:spacing w:after="20" w:line="259" w:lineRule="auto"/>
              <w:jc w:val="center"/>
            </w:pPr>
            <w:r>
              <w:rPr>
                <w:sz w:val="18"/>
              </w:rPr>
              <w:t>No</w:t>
            </w:r>
          </w:p>
        </w:tc>
        <w:tc>
          <w:tcPr>
            <w:tcW w:type="dxa" w:w="5328"/>
            <w:vAlign w:val="center"/>
            <w:tcMar>
              <w:top w:w="70" w:type="dxa"/>
              <w:start w:w="90" w:type="dxa"/>
              <w:bottom w:w="70" w:type="dxa"/>
              <w:end w:w="90" w:type="dxa"/>
            </w:tcMar>
          </w:tcPr>
          <w:p>
            <w:pPr>
              <w:spacing w:after="20" w:line="259" w:lineRule="auto"/>
              <w:jc w:val="left"/>
            </w:pPr>
            <w:r>
              <w:rPr>
                <w:sz w:val="18"/>
              </w:rPr>
              <w:t>If the grenade lands on the exact square jointly occupied by the carrier and recoveree, PV–PP may deliberately smother the grenade, while the scalar self-preserving baseline does not.</w:t>
            </w:r>
          </w:p>
        </w:tc>
      </w:tr>
    </w:tbl>
    <w:p/>
    <w:p>
      <w:pPr>
        <w:pStyle w:val="Heading1"/>
      </w:pPr>
      <w:r>
        <w:t>Environment Overview</w:t>
      </w:r>
    </w:p>
    <w:p>
      <w:r>
        <w:t>The benchmark uses a 12×12 grid-based rescue-and-extraction environment with a five-soldier squad, a recoveree in an elevated objective zone near the far side of the map, a home-side extraction zone, terrain elevation, cover, background enemy fire, wounding and mobility degradation, local burden during withdrawal, and probabilistic or scripted grenade events during withdrawal.</w:t>
      </w:r>
    </w:p>
    <w:p>
      <w:r>
        <w:t>The scenario is deliberately richer than a static ‘soldier jumps on grenade’ vignette. The grenade event occurs inside an active mission environment in which route choice, burden, exposure, and squad-level structure already matter.</w:t>
      </w:r>
    </w:p>
    <w:p>
      <w:pPr>
        <w:pStyle w:val="Heading1"/>
      </w:pPr>
      <w:r>
        <w:t>Persistence-Bearing Entities and Domain Structure</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2484"/>
        <w:gridCol w:w="2484"/>
        <w:gridCol w:w="2484"/>
        <w:gridCol w:w="2484"/>
      </w:tblGrid>
      <w:tr>
        <w:trPr>
          <w:tblHeader w:val="true"/>
          <w:cantSplit/>
        </w:trPr>
        <w:tc>
          <w:tcPr>
            <w:tcW w:type="dxa" w:w="1152"/>
            <w:shd w:fill="DCE6F1"/>
            <w:vAlign w:val="center"/>
            <w:tcMar>
              <w:top w:w="75" w:type="dxa"/>
              <w:start w:w="95" w:type="dxa"/>
              <w:bottom w:w="75" w:type="dxa"/>
              <w:end w:w="95" w:type="dxa"/>
            </w:tcMar>
          </w:tcPr>
          <w:p>
            <w:pPr>
              <w:jc w:val="center"/>
            </w:pPr>
            <w:r>
              <w:rPr>
                <w:b/>
                <w:sz w:val="18"/>
              </w:rPr>
              <w:t>Level</w:t>
            </w:r>
          </w:p>
        </w:tc>
        <w:tc>
          <w:tcPr>
            <w:tcW w:type="dxa" w:w="1800"/>
            <w:shd w:fill="DCE6F1"/>
            <w:vAlign w:val="center"/>
            <w:tcMar>
              <w:top w:w="75" w:type="dxa"/>
              <w:start w:w="95" w:type="dxa"/>
              <w:bottom w:w="75" w:type="dxa"/>
              <w:end w:w="95" w:type="dxa"/>
            </w:tcMar>
          </w:tcPr>
          <w:p>
            <w:pPr>
              <w:jc w:val="center"/>
            </w:pPr>
            <w:r>
              <w:rPr>
                <w:b/>
                <w:sz w:val="18"/>
              </w:rPr>
              <w:t>Domain</w:t>
            </w:r>
          </w:p>
        </w:tc>
        <w:tc>
          <w:tcPr>
            <w:tcW w:type="dxa" w:w="3384"/>
            <w:shd w:fill="DCE6F1"/>
            <w:vAlign w:val="center"/>
            <w:tcMar>
              <w:top w:w="75" w:type="dxa"/>
              <w:start w:w="95" w:type="dxa"/>
              <w:bottom w:w="75" w:type="dxa"/>
              <w:end w:w="95" w:type="dxa"/>
            </w:tcMar>
          </w:tcPr>
          <w:p>
            <w:pPr>
              <w:jc w:val="center"/>
            </w:pPr>
            <w:r>
              <w:rPr>
                <w:b/>
                <w:sz w:val="18"/>
              </w:rPr>
              <w:t>States</w:t>
            </w:r>
          </w:p>
        </w:tc>
        <w:tc>
          <w:tcPr>
            <w:tcW w:type="dxa" w:w="3096"/>
            <w:shd w:fill="DCE6F1"/>
            <w:vAlign w:val="center"/>
            <w:tcMar>
              <w:top w:w="75" w:type="dxa"/>
              <w:start w:w="95" w:type="dxa"/>
              <w:bottom w:w="75" w:type="dxa"/>
              <w:end w:w="95" w:type="dxa"/>
            </w:tcMar>
          </w:tcPr>
          <w:p>
            <w:pPr>
              <w:jc w:val="center"/>
            </w:pPr>
            <w:r>
              <w:rPr>
                <w:b/>
                <w:sz w:val="18"/>
              </w:rPr>
              <w:t>Role</w:t>
            </w:r>
          </w:p>
        </w:tc>
      </w:tr>
      <w:tr>
        <w:trPr>
          <w:cantSplit/>
        </w:trPr>
        <w:tc>
          <w:tcPr>
            <w:tcW w:type="dxa" w:w="1152"/>
            <w:vAlign w:val="center"/>
            <w:tcMar>
              <w:top w:w="70" w:type="dxa"/>
              <w:start w:w="90" w:type="dxa"/>
              <w:bottom w:w="70" w:type="dxa"/>
              <w:end w:w="90" w:type="dxa"/>
            </w:tcMar>
            <w:shd w:fill="F6F8FA"/>
          </w:tcPr>
          <w:p>
            <w:pPr>
              <w:spacing w:after="20" w:line="259" w:lineRule="auto"/>
              <w:jc w:val="left"/>
            </w:pPr>
            <w:r>
              <w:rPr>
                <w:sz w:val="18"/>
              </w:rPr>
              <w:t>Individual</w:t>
            </w:r>
          </w:p>
        </w:tc>
        <w:tc>
          <w:tcPr>
            <w:tcW w:type="dxa" w:w="1800"/>
            <w:vAlign w:val="center"/>
            <w:tcMar>
              <w:top w:w="70" w:type="dxa"/>
              <w:start w:w="90" w:type="dxa"/>
              <w:bottom w:w="70" w:type="dxa"/>
              <w:end w:w="90" w:type="dxa"/>
            </w:tcMar>
          </w:tcPr>
          <w:p>
            <w:pPr>
              <w:spacing w:after="20" w:line="259" w:lineRule="auto"/>
              <w:jc w:val="center"/>
            </w:pPr>
            <w:r>
              <w:rPr>
                <w:sz w:val="18"/>
              </w:rPr>
              <w:t>Integrity</w:t>
            </w:r>
          </w:p>
        </w:tc>
        <w:tc>
          <w:tcPr>
            <w:tcW w:type="dxa" w:w="3384"/>
            <w:vAlign w:val="center"/>
            <w:tcMar>
              <w:top w:w="70" w:type="dxa"/>
              <w:start w:w="90" w:type="dxa"/>
              <w:bottom w:w="70" w:type="dxa"/>
              <w:end w:w="90" w:type="dxa"/>
            </w:tcMar>
          </w:tcPr>
          <w:p>
            <w:pPr>
              <w:spacing w:after="20" w:line="259" w:lineRule="auto"/>
              <w:jc w:val="left"/>
            </w:pPr>
            <w:r>
              <w:rPr>
                <w:sz w:val="18"/>
              </w:rPr>
              <w:t>I2 intact; I1 wounded; I0 dead</w:t>
            </w:r>
          </w:p>
        </w:tc>
        <w:tc>
          <w:tcPr>
            <w:tcW w:type="dxa" w:w="3096"/>
            <w:vAlign w:val="center"/>
            <w:tcMar>
              <w:top w:w="70" w:type="dxa"/>
              <w:start w:w="90" w:type="dxa"/>
              <w:bottom w:w="70" w:type="dxa"/>
              <w:end w:w="90" w:type="dxa"/>
            </w:tcMar>
          </w:tcPr>
          <w:p>
            <w:pPr>
              <w:spacing w:after="20" w:line="259" w:lineRule="auto"/>
              <w:jc w:val="left"/>
            </w:pPr>
            <w:r>
              <w:rPr>
                <w:sz w:val="18"/>
              </w:rPr>
              <w:t>Bodily survival / injury condition.</w:t>
            </w:r>
          </w:p>
        </w:tc>
      </w:tr>
      <w:tr>
        <w:trPr>
          <w:cantSplit/>
        </w:trPr>
        <w:tc>
          <w:tcPr>
            <w:tcW w:type="dxa" w:w="1152"/>
            <w:vAlign w:val="center"/>
            <w:tcMar>
              <w:top w:w="70" w:type="dxa"/>
              <w:start w:w="90" w:type="dxa"/>
              <w:bottom w:w="70" w:type="dxa"/>
              <w:end w:w="90" w:type="dxa"/>
            </w:tcMar>
            <w:shd w:fill="F6F8FA"/>
          </w:tcPr>
          <w:p>
            <w:pPr>
              <w:spacing w:after="20" w:line="259" w:lineRule="auto"/>
              <w:jc w:val="left"/>
            </w:pPr>
            <w:r>
              <w:rPr>
                <w:sz w:val="18"/>
              </w:rPr>
              <w:t>Individual</w:t>
            </w:r>
          </w:p>
        </w:tc>
        <w:tc>
          <w:tcPr>
            <w:tcW w:type="dxa" w:w="1800"/>
            <w:vAlign w:val="center"/>
            <w:tcMar>
              <w:top w:w="70" w:type="dxa"/>
              <w:start w:w="90" w:type="dxa"/>
              <w:bottom w:w="70" w:type="dxa"/>
              <w:end w:w="90" w:type="dxa"/>
            </w:tcMar>
          </w:tcPr>
          <w:p>
            <w:pPr>
              <w:spacing w:after="20" w:line="259" w:lineRule="auto"/>
              <w:jc w:val="center"/>
            </w:pPr>
            <w:r>
              <w:rPr>
                <w:sz w:val="18"/>
              </w:rPr>
              <w:t>Mobility</w:t>
            </w:r>
          </w:p>
        </w:tc>
        <w:tc>
          <w:tcPr>
            <w:tcW w:type="dxa" w:w="3384"/>
            <w:vAlign w:val="center"/>
            <w:tcMar>
              <w:top w:w="70" w:type="dxa"/>
              <w:start w:w="90" w:type="dxa"/>
              <w:bottom w:w="70" w:type="dxa"/>
              <w:end w:w="90" w:type="dxa"/>
            </w:tcMar>
          </w:tcPr>
          <w:p>
            <w:pPr>
              <w:spacing w:after="20" w:line="259" w:lineRule="auto"/>
              <w:jc w:val="left"/>
            </w:pPr>
            <w:r>
              <w:rPr>
                <w:sz w:val="18"/>
              </w:rPr>
              <w:t>M3 full; M2 reduced; M1 minimal; M0 none</w:t>
            </w:r>
          </w:p>
        </w:tc>
        <w:tc>
          <w:tcPr>
            <w:tcW w:type="dxa" w:w="3096"/>
            <w:vAlign w:val="center"/>
            <w:tcMar>
              <w:top w:w="70" w:type="dxa"/>
              <w:start w:w="90" w:type="dxa"/>
              <w:bottom w:w="70" w:type="dxa"/>
              <w:end w:w="90" w:type="dxa"/>
            </w:tcMar>
          </w:tcPr>
          <w:p>
            <w:pPr>
              <w:spacing w:after="20" w:line="259" w:lineRule="auto"/>
              <w:jc w:val="left"/>
            </w:pPr>
            <w:r>
              <w:rPr>
                <w:sz w:val="18"/>
              </w:rPr>
              <w:t>Ability to move and act physically.</w:t>
            </w:r>
          </w:p>
        </w:tc>
      </w:tr>
      <w:tr>
        <w:trPr>
          <w:cantSplit/>
        </w:trPr>
        <w:tc>
          <w:tcPr>
            <w:tcW w:type="dxa" w:w="1152"/>
            <w:vAlign w:val="center"/>
            <w:tcMar>
              <w:top w:w="70" w:type="dxa"/>
              <w:start w:w="90" w:type="dxa"/>
              <w:bottom w:w="70" w:type="dxa"/>
              <w:end w:w="90" w:type="dxa"/>
            </w:tcMar>
            <w:shd w:fill="F6F8FA"/>
          </w:tcPr>
          <w:p>
            <w:pPr>
              <w:spacing w:after="20" w:line="259" w:lineRule="auto"/>
              <w:jc w:val="left"/>
            </w:pPr>
            <w:r>
              <w:rPr>
                <w:sz w:val="18"/>
              </w:rPr>
              <w:t>Individual</w:t>
            </w:r>
          </w:p>
        </w:tc>
        <w:tc>
          <w:tcPr>
            <w:tcW w:type="dxa" w:w="1800"/>
            <w:vAlign w:val="center"/>
            <w:tcMar>
              <w:top w:w="70" w:type="dxa"/>
              <w:start w:w="90" w:type="dxa"/>
              <w:bottom w:w="70" w:type="dxa"/>
              <w:end w:w="90" w:type="dxa"/>
            </w:tcMar>
          </w:tcPr>
          <w:p>
            <w:pPr>
              <w:spacing w:after="20" w:line="259" w:lineRule="auto"/>
              <w:jc w:val="center"/>
            </w:pPr>
            <w:r>
              <w:rPr>
                <w:sz w:val="18"/>
              </w:rPr>
              <w:t>Exposure</w:t>
            </w:r>
          </w:p>
        </w:tc>
        <w:tc>
          <w:tcPr>
            <w:tcW w:type="dxa" w:w="3384"/>
            <w:vAlign w:val="center"/>
            <w:tcMar>
              <w:top w:w="70" w:type="dxa"/>
              <w:start w:w="90" w:type="dxa"/>
              <w:bottom w:w="70" w:type="dxa"/>
              <w:end w:w="90" w:type="dxa"/>
            </w:tcMar>
          </w:tcPr>
          <w:p>
            <w:pPr>
              <w:spacing w:after="20" w:line="259" w:lineRule="auto"/>
              <w:jc w:val="left"/>
            </w:pPr>
            <w:r>
              <w:rPr>
                <w:sz w:val="18"/>
              </w:rPr>
              <w:t>E2 high; E1 moderate; E0 low</w:t>
            </w:r>
          </w:p>
        </w:tc>
        <w:tc>
          <w:tcPr>
            <w:tcW w:type="dxa" w:w="3096"/>
            <w:vAlign w:val="center"/>
            <w:tcMar>
              <w:top w:w="70" w:type="dxa"/>
              <w:start w:w="90" w:type="dxa"/>
              <w:bottom w:w="70" w:type="dxa"/>
              <w:end w:w="90" w:type="dxa"/>
            </w:tcMar>
          </w:tcPr>
          <w:p>
            <w:pPr>
              <w:spacing w:after="20" w:line="259" w:lineRule="auto"/>
              <w:jc w:val="left"/>
            </w:pPr>
            <w:r>
              <w:rPr>
                <w:sz w:val="18"/>
              </w:rPr>
              <w:t>Immediate local vulnerability to hostile threat.</w:t>
            </w:r>
          </w:p>
        </w:tc>
      </w:tr>
      <w:tr>
        <w:trPr>
          <w:cantSplit/>
        </w:trPr>
        <w:tc>
          <w:tcPr>
            <w:tcW w:type="dxa" w:w="1152"/>
            <w:vAlign w:val="center"/>
            <w:tcMar>
              <w:top w:w="70" w:type="dxa"/>
              <w:start w:w="90" w:type="dxa"/>
              <w:bottom w:w="70" w:type="dxa"/>
              <w:end w:w="90" w:type="dxa"/>
            </w:tcMar>
            <w:shd w:fill="F6F8FA"/>
          </w:tcPr>
          <w:p>
            <w:pPr>
              <w:spacing w:after="20" w:line="259" w:lineRule="auto"/>
              <w:jc w:val="center"/>
            </w:pPr>
            <w:r>
              <w:rPr>
                <w:sz w:val="18"/>
              </w:rPr>
              <w:t>Squad</w:t>
            </w:r>
          </w:p>
        </w:tc>
        <w:tc>
          <w:tcPr>
            <w:tcW w:type="dxa" w:w="1800"/>
            <w:vAlign w:val="center"/>
            <w:tcMar>
              <w:top w:w="70" w:type="dxa"/>
              <w:start w:w="90" w:type="dxa"/>
              <w:bottom w:w="70" w:type="dxa"/>
              <w:end w:w="90" w:type="dxa"/>
            </w:tcMar>
          </w:tcPr>
          <w:p>
            <w:pPr>
              <w:spacing w:after="20" w:line="259" w:lineRule="auto"/>
              <w:jc w:val="left"/>
            </w:pPr>
            <w:r>
              <w:rPr>
                <w:sz w:val="18"/>
              </w:rPr>
              <w:t>Squad Viability</w:t>
            </w:r>
          </w:p>
        </w:tc>
        <w:tc>
          <w:tcPr>
            <w:tcW w:type="dxa" w:w="3384"/>
            <w:vAlign w:val="center"/>
            <w:tcMar>
              <w:top w:w="70" w:type="dxa"/>
              <w:start w:w="90" w:type="dxa"/>
              <w:bottom w:w="70" w:type="dxa"/>
              <w:end w:w="90" w:type="dxa"/>
            </w:tcMar>
          </w:tcPr>
          <w:p>
            <w:pPr>
              <w:spacing w:after="20" w:line="259" w:lineRule="auto"/>
              <w:jc w:val="left"/>
            </w:pPr>
            <w:r>
              <w:rPr>
                <w:sz w:val="18"/>
              </w:rPr>
              <w:t>SV3 fully viable; SV2 degraded but viable; SV1 critically degraded; SV0 non-viable</w:t>
            </w:r>
          </w:p>
        </w:tc>
        <w:tc>
          <w:tcPr>
            <w:tcW w:type="dxa" w:w="3096"/>
            <w:vAlign w:val="center"/>
            <w:tcMar>
              <w:top w:w="70" w:type="dxa"/>
              <w:start w:w="90" w:type="dxa"/>
              <w:bottom w:w="70" w:type="dxa"/>
              <w:end w:w="90" w:type="dxa"/>
            </w:tcMar>
          </w:tcPr>
          <w:p>
            <w:pPr>
              <w:spacing w:after="20" w:line="259" w:lineRule="auto"/>
              <w:jc w:val="left"/>
            </w:pPr>
            <w:r>
              <w:rPr>
                <w:sz w:val="18"/>
              </w:rPr>
              <w:t>Whether the squad remains a functioning organized unit.</w:t>
            </w:r>
          </w:p>
        </w:tc>
      </w:tr>
      <w:tr>
        <w:trPr>
          <w:cantSplit/>
        </w:trPr>
        <w:tc>
          <w:tcPr>
            <w:tcW w:type="dxa" w:w="1152"/>
            <w:vAlign w:val="center"/>
            <w:tcMar>
              <w:top w:w="70" w:type="dxa"/>
              <w:start w:w="90" w:type="dxa"/>
              <w:bottom w:w="70" w:type="dxa"/>
              <w:end w:w="90" w:type="dxa"/>
            </w:tcMar>
            <w:shd w:fill="F6F8FA"/>
          </w:tcPr>
          <w:p>
            <w:pPr>
              <w:spacing w:after="20" w:line="259" w:lineRule="auto"/>
              <w:jc w:val="center"/>
            </w:pPr>
            <w:r>
              <w:rPr>
                <w:sz w:val="18"/>
              </w:rPr>
              <w:t>Squad</w:t>
            </w:r>
          </w:p>
        </w:tc>
        <w:tc>
          <w:tcPr>
            <w:tcW w:type="dxa" w:w="1800"/>
            <w:vAlign w:val="center"/>
            <w:tcMar>
              <w:top w:w="70" w:type="dxa"/>
              <w:start w:w="90" w:type="dxa"/>
              <w:bottom w:w="70" w:type="dxa"/>
              <w:end w:w="90" w:type="dxa"/>
            </w:tcMar>
          </w:tcPr>
          <w:p>
            <w:pPr>
              <w:spacing w:after="20" w:line="259" w:lineRule="auto"/>
              <w:jc w:val="left"/>
            </w:pPr>
            <w:r>
              <w:rPr>
                <w:sz w:val="18"/>
              </w:rPr>
              <w:t>Mission Continuity</w:t>
            </w:r>
          </w:p>
        </w:tc>
        <w:tc>
          <w:tcPr>
            <w:tcW w:type="dxa" w:w="3384"/>
            <w:vAlign w:val="center"/>
            <w:tcMar>
              <w:top w:w="70" w:type="dxa"/>
              <w:start w:w="90" w:type="dxa"/>
              <w:bottom w:w="70" w:type="dxa"/>
              <w:end w:w="90" w:type="dxa"/>
            </w:tcMar>
          </w:tcPr>
          <w:p>
            <w:pPr>
              <w:spacing w:after="20" w:line="259" w:lineRule="auto"/>
              <w:jc w:val="left"/>
            </w:pPr>
            <w:r>
              <w:rPr>
                <w:sz w:val="18"/>
              </w:rPr>
              <w:t>MC3 fully open; MC2 degraded; MC1 barely open; MC0 collapsed</w:t>
            </w:r>
          </w:p>
        </w:tc>
        <w:tc>
          <w:tcPr>
            <w:tcW w:type="dxa" w:w="3096"/>
            <w:vAlign w:val="center"/>
            <w:tcMar>
              <w:top w:w="70" w:type="dxa"/>
              <w:start w:w="90" w:type="dxa"/>
              <w:bottom w:w="70" w:type="dxa"/>
              <w:end w:w="90" w:type="dxa"/>
            </w:tcMar>
          </w:tcPr>
          <w:p>
            <w:pPr>
              <w:spacing w:after="20" w:line="259" w:lineRule="auto"/>
              <w:jc w:val="left"/>
            </w:pPr>
            <w:r>
              <w:rPr>
                <w:sz w:val="18"/>
              </w:rPr>
              <w:t>Whether the squad still has a live path to mission completion.</w:t>
            </w:r>
          </w:p>
        </w:tc>
      </w:tr>
      <w:tr>
        <w:trPr>
          <w:cantSplit/>
        </w:trPr>
        <w:tc>
          <w:tcPr>
            <w:tcW w:type="dxa" w:w="1152"/>
            <w:vAlign w:val="center"/>
            <w:tcMar>
              <w:top w:w="70" w:type="dxa"/>
              <w:start w:w="90" w:type="dxa"/>
              <w:bottom w:w="70" w:type="dxa"/>
              <w:end w:w="90" w:type="dxa"/>
            </w:tcMar>
            <w:shd w:fill="F6F8FA"/>
          </w:tcPr>
          <w:p>
            <w:pPr>
              <w:spacing w:after="20" w:line="259" w:lineRule="auto"/>
              <w:jc w:val="center"/>
            </w:pPr>
            <w:r>
              <w:rPr>
                <w:sz w:val="18"/>
              </w:rPr>
              <w:t>Squad</w:t>
            </w:r>
          </w:p>
        </w:tc>
        <w:tc>
          <w:tcPr>
            <w:tcW w:type="dxa" w:w="1800"/>
            <w:vAlign w:val="center"/>
            <w:tcMar>
              <w:top w:w="70" w:type="dxa"/>
              <w:start w:w="90" w:type="dxa"/>
              <w:bottom w:w="70" w:type="dxa"/>
              <w:end w:w="90" w:type="dxa"/>
            </w:tcMar>
          </w:tcPr>
          <w:p>
            <w:pPr>
              <w:spacing w:after="20" w:line="259" w:lineRule="auto"/>
              <w:jc w:val="center"/>
            </w:pPr>
            <w:r>
              <w:rPr>
                <w:sz w:val="18"/>
              </w:rPr>
              <w:t>Cohesion</w:t>
            </w:r>
          </w:p>
        </w:tc>
        <w:tc>
          <w:tcPr>
            <w:tcW w:type="dxa" w:w="3384"/>
            <w:vAlign w:val="center"/>
            <w:tcMar>
              <w:top w:w="70" w:type="dxa"/>
              <w:start w:w="90" w:type="dxa"/>
              <w:bottom w:w="70" w:type="dxa"/>
              <w:end w:w="90" w:type="dxa"/>
            </w:tcMar>
          </w:tcPr>
          <w:p>
            <w:pPr>
              <w:spacing w:after="20" w:line="259" w:lineRule="auto"/>
              <w:jc w:val="left"/>
            </w:pPr>
            <w:r>
              <w:rPr>
                <w:sz w:val="18"/>
              </w:rPr>
              <w:t>C3 strong; C2 strained; C1 fragmented; C0 lost</w:t>
            </w:r>
          </w:p>
        </w:tc>
        <w:tc>
          <w:tcPr>
            <w:tcW w:type="dxa" w:w="3096"/>
            <w:vAlign w:val="center"/>
            <w:tcMar>
              <w:top w:w="70" w:type="dxa"/>
              <w:start w:w="90" w:type="dxa"/>
              <w:bottom w:w="70" w:type="dxa"/>
              <w:end w:w="90" w:type="dxa"/>
            </w:tcMar>
          </w:tcPr>
          <w:p>
            <w:pPr>
              <w:spacing w:after="20" w:line="259" w:lineRule="auto"/>
              <w:jc w:val="left"/>
            </w:pPr>
            <w:r>
              <w:rPr>
                <w:sz w:val="18"/>
              </w:rPr>
              <w:t>Whether the squad remains sufficiently organized to act as a coordinated unit.</w:t>
            </w:r>
          </w:p>
        </w:tc>
      </w:tr>
    </w:tbl>
    <w:p/>
    <w:p>
      <w:pPr>
        <w:pStyle w:val="Heading2"/>
      </w:pPr>
      <w:r>
        <w:t>Domain Interaction Logic</w:t>
      </w:r>
    </w:p>
    <w:p>
      <w:pPr>
        <w:pStyle w:val="ListBullet"/>
        <w:spacing w:after="40"/>
        <w:ind w:left="288"/>
      </w:pPr>
      <w:r>
        <w:rPr>
          <w:sz w:val="20"/>
        </w:rPr>
        <w:t>High Exposure increases risk of Integrity loss.</w:t>
      </w:r>
    </w:p>
    <w:p>
      <w:pPr>
        <w:pStyle w:val="ListBullet"/>
        <w:spacing w:after="40"/>
        <w:ind w:left="288"/>
      </w:pPr>
      <w:r>
        <w:rPr>
          <w:sz w:val="20"/>
        </w:rPr>
        <w:t>Integrity loss tends to reduce Mobility.</w:t>
      </w:r>
    </w:p>
    <w:p>
      <w:pPr>
        <w:pStyle w:val="ListBullet"/>
        <w:spacing w:after="40"/>
        <w:ind w:left="288"/>
      </w:pPr>
      <w:r>
        <w:rPr>
          <w:sz w:val="20"/>
        </w:rPr>
        <w:t>Reduced Mobility can trap soldiers in Exposure.</w:t>
      </w:r>
    </w:p>
    <w:p>
      <w:pPr>
        <w:pStyle w:val="ListBullet"/>
        <w:spacing w:after="40"/>
        <w:ind w:left="288"/>
      </w:pPr>
      <w:r>
        <w:rPr>
          <w:sz w:val="20"/>
        </w:rPr>
        <w:t>Wounded burden and dispersion can reduce Cohesion.</w:t>
      </w:r>
    </w:p>
    <w:p>
      <w:pPr>
        <w:pStyle w:val="ListBullet"/>
        <w:spacing w:after="40"/>
        <w:ind w:left="288"/>
      </w:pPr>
      <w:r>
        <w:rPr>
          <w:sz w:val="20"/>
        </w:rPr>
        <w:t>Loss of Cohesion can degrade Squad Viability and Mission Continuity.</w:t>
      </w:r>
    </w:p>
    <w:p>
      <w:pPr>
        <w:pStyle w:val="ListBullet"/>
        <w:spacing w:after="40"/>
        <w:ind w:left="288"/>
      </w:pPr>
      <w:r>
        <w:rPr>
          <w:sz w:val="20"/>
        </w:rPr>
        <w:t>Casualties can degrade Squad Viability without immediately collapsing Mission Continuity.</w:t>
      </w:r>
    </w:p>
    <w:p>
      <w:pPr>
        <w:pStyle w:val="ListBullet"/>
        <w:spacing w:after="40"/>
        <w:ind w:left="288"/>
      </w:pPr>
      <w:r>
        <w:rPr>
          <w:sz w:val="20"/>
        </w:rPr>
        <w:t>Mission Continuity can collapse while some soldiers remain alive.</w:t>
      </w:r>
    </w:p>
    <w:p>
      <w:pPr>
        <w:pStyle w:val="Heading1"/>
      </w:pPr>
      <w:r>
        <w:t>Map and Terrain</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4968"/>
        <w:gridCol w:w="4968"/>
      </w:tblGrid>
      <w:tr>
        <w:trPr>
          <w:tblHeader w:val="true"/>
          <w:cantSplit/>
        </w:trPr>
        <w:tc>
          <w:tcPr>
            <w:tcW w:type="dxa" w:w="2376"/>
            <w:shd w:fill="DCE6F1"/>
            <w:vAlign w:val="center"/>
            <w:tcMar>
              <w:top w:w="75" w:type="dxa"/>
              <w:start w:w="95" w:type="dxa"/>
              <w:bottom w:w="75" w:type="dxa"/>
              <w:end w:w="95" w:type="dxa"/>
            </w:tcMar>
          </w:tcPr>
          <w:p>
            <w:pPr>
              <w:jc w:val="center"/>
            </w:pPr>
            <w:r>
              <w:rPr>
                <w:b/>
                <w:sz w:val="18"/>
              </w:rPr>
              <w:t>Element</w:t>
            </w:r>
          </w:p>
        </w:tc>
        <w:tc>
          <w:tcPr>
            <w:tcW w:type="dxa" w:w="7128"/>
            <w:shd w:fill="DCE6F1"/>
            <w:vAlign w:val="center"/>
            <w:tcMar>
              <w:top w:w="75" w:type="dxa"/>
              <w:start w:w="95" w:type="dxa"/>
              <w:bottom w:w="75" w:type="dxa"/>
              <w:end w:w="95" w:type="dxa"/>
            </w:tcMar>
          </w:tcPr>
          <w:p>
            <w:pPr>
              <w:jc w:val="center"/>
            </w:pPr>
            <w:r>
              <w:rPr>
                <w:b/>
                <w:sz w:val="18"/>
              </w:rPr>
              <w:t>Specification</w:t>
            </w:r>
          </w:p>
        </w:tc>
      </w:tr>
      <w:tr>
        <w:trPr>
          <w:cantSplit/>
        </w:trPr>
        <w:tc>
          <w:tcPr>
            <w:tcW w:type="dxa" w:w="2376"/>
            <w:vAlign w:val="center"/>
            <w:tcMar>
              <w:top w:w="70" w:type="dxa"/>
              <w:start w:w="90" w:type="dxa"/>
              <w:bottom w:w="70" w:type="dxa"/>
              <w:end w:w="90" w:type="dxa"/>
            </w:tcMar>
            <w:shd w:fill="F6F8FA"/>
          </w:tcPr>
          <w:p>
            <w:pPr>
              <w:spacing w:after="20" w:line="259" w:lineRule="auto"/>
              <w:jc w:val="center"/>
            </w:pPr>
            <w:r>
              <w:rPr>
                <w:sz w:val="18"/>
              </w:rPr>
              <w:t>Grid size</w:t>
            </w:r>
          </w:p>
        </w:tc>
        <w:tc>
          <w:tcPr>
            <w:tcW w:type="dxa" w:w="7128"/>
            <w:vAlign w:val="center"/>
            <w:tcMar>
              <w:top w:w="70" w:type="dxa"/>
              <w:start w:w="90" w:type="dxa"/>
              <w:bottom w:w="70" w:type="dxa"/>
              <w:end w:w="90" w:type="dxa"/>
            </w:tcMar>
          </w:tcPr>
          <w:p>
            <w:pPr>
              <w:spacing w:after="20" w:line="259" w:lineRule="auto"/>
              <w:jc w:val="left"/>
            </w:pPr>
            <w:r>
              <w:rPr>
                <w:sz w:val="18"/>
              </w:rPr>
              <w:t>12 rows × 12 columns; rows and columns numbered from 1 to 12.</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Terrain content</w:t>
            </w:r>
          </w:p>
        </w:tc>
        <w:tc>
          <w:tcPr>
            <w:tcW w:type="dxa" w:w="7128"/>
            <w:vAlign w:val="center"/>
            <w:tcMar>
              <w:top w:w="70" w:type="dxa"/>
              <w:start w:w="90" w:type="dxa"/>
              <w:bottom w:w="70" w:type="dxa"/>
              <w:end w:w="90" w:type="dxa"/>
            </w:tcMar>
          </w:tcPr>
          <w:p>
            <w:pPr>
              <w:spacing w:after="20" w:line="259" w:lineRule="auto"/>
              <w:jc w:val="left"/>
            </w:pPr>
            <w:r>
              <w:rPr>
                <w:sz w:val="18"/>
              </w:rPr>
              <w:t>Flat ground, directional slope via height values, partial cover, strong cover, an elevated objective zone, and a home-side extraction zone.</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Route logic</w:t>
            </w:r>
          </w:p>
        </w:tc>
        <w:tc>
          <w:tcPr>
            <w:tcW w:type="dxa" w:w="7128"/>
            <w:vAlign w:val="center"/>
            <w:tcMar>
              <w:top w:w="70" w:type="dxa"/>
              <w:start w:w="90" w:type="dxa"/>
              <w:bottom w:w="70" w:type="dxa"/>
              <w:end w:w="90" w:type="dxa"/>
            </w:tcMar>
          </w:tcPr>
          <w:p>
            <w:pPr>
              <w:spacing w:after="20" w:line="259" w:lineRule="auto"/>
              <w:jc w:val="left"/>
            </w:pPr>
            <w:r>
              <w:rPr>
                <w:sz w:val="18"/>
              </w:rPr>
              <w:t>A shorter exposed direct route and a longer more survivable flanking route, with bottlenecks near elevated terrain.</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Height values</w:t>
            </w:r>
          </w:p>
        </w:tc>
        <w:tc>
          <w:tcPr>
            <w:tcW w:type="dxa" w:w="7128"/>
            <w:vAlign w:val="center"/>
            <w:tcMar>
              <w:top w:w="70" w:type="dxa"/>
              <w:start w:w="90" w:type="dxa"/>
              <w:bottom w:w="70" w:type="dxa"/>
              <w:end w:w="90" w:type="dxa"/>
            </w:tcMar>
          </w:tcPr>
          <w:p>
            <w:pPr>
              <w:spacing w:after="20" w:line="259" w:lineRule="auto"/>
              <w:jc w:val="left"/>
            </w:pPr>
            <w:r>
              <w:rPr>
                <w:sz w:val="18"/>
              </w:rPr>
              <w:t>H0 flat ground; H1 low rise; H2 upper slope; H3 hilltop / crest.</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Movement cost</w:t>
            </w:r>
          </w:p>
        </w:tc>
        <w:tc>
          <w:tcPr>
            <w:tcW w:type="dxa" w:w="7128"/>
            <w:vAlign w:val="center"/>
            <w:tcMar>
              <w:top w:w="70" w:type="dxa"/>
              <w:start w:w="90" w:type="dxa"/>
              <w:bottom w:w="70" w:type="dxa"/>
              <w:end w:w="90" w:type="dxa"/>
            </w:tcMar>
          </w:tcPr>
          <w:p>
            <w:pPr>
              <w:spacing w:after="20" w:line="259" w:lineRule="auto"/>
              <w:jc w:val="left"/>
            </w:pPr>
            <w:r>
              <w:rPr>
                <w:sz w:val="18"/>
              </w:rPr>
              <w:t>1 + max(0, height(destination) - height(origin)). Same height = 1; uphill by 1 = 2; uphill by 2 = 3; downhill = 1.</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Height restriction</w:t>
            </w:r>
          </w:p>
        </w:tc>
        <w:tc>
          <w:tcPr>
            <w:tcW w:type="dxa" w:w="7128"/>
            <w:vAlign w:val="center"/>
            <w:tcMar>
              <w:top w:w="70" w:type="dxa"/>
              <w:start w:w="90" w:type="dxa"/>
              <w:bottom w:w="70" w:type="dxa"/>
              <w:end w:w="90" w:type="dxa"/>
            </w:tcMar>
          </w:tcPr>
          <w:p>
            <w:pPr>
              <w:spacing w:after="20" w:line="259" w:lineRule="auto"/>
              <w:jc w:val="left"/>
            </w:pPr>
            <w:r>
              <w:rPr>
                <w:sz w:val="18"/>
              </w:rPr>
              <w:t>Orthogonal movement allowed only when adjacent height difference is 2 or less.</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Cover classes</w:t>
            </w:r>
          </w:p>
        </w:tc>
        <w:tc>
          <w:tcPr>
            <w:tcW w:type="dxa" w:w="7128"/>
            <w:vAlign w:val="center"/>
            <w:tcMar>
              <w:top w:w="70" w:type="dxa"/>
              <w:start w:w="90" w:type="dxa"/>
              <w:bottom w:w="70" w:type="dxa"/>
              <w:end w:w="90" w:type="dxa"/>
            </w:tcMar>
          </w:tcPr>
          <w:p>
            <w:pPr>
              <w:spacing w:after="20" w:line="259" w:lineRule="auto"/>
              <w:jc w:val="left"/>
            </w:pPr>
            <w:r>
              <w:rPr>
                <w:sz w:val="18"/>
              </w:rPr>
              <w:t>N no cover; P partial cover; S strong cover.</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Objective placement</w:t>
            </w:r>
          </w:p>
        </w:tc>
        <w:tc>
          <w:tcPr>
            <w:tcW w:type="dxa" w:w="7128"/>
            <w:vAlign w:val="center"/>
            <w:tcMar>
              <w:top w:w="70" w:type="dxa"/>
              <w:start w:w="90" w:type="dxa"/>
              <w:bottom w:w="70" w:type="dxa"/>
              <w:end w:w="90" w:type="dxa"/>
            </w:tcMar>
          </w:tcPr>
          <w:p>
            <w:pPr>
              <w:spacing w:after="20" w:line="259" w:lineRule="auto"/>
              <w:jc w:val="left"/>
            </w:pPr>
            <w:r>
              <w:rPr>
                <w:sz w:val="18"/>
              </w:rPr>
              <w:t>Locked at Row 2, Column 11. Objective zone includes (1,10), (1,11), (2,10), (2,11), (2,12), and (3,11).</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Extraction zone</w:t>
            </w:r>
          </w:p>
        </w:tc>
        <w:tc>
          <w:tcPr>
            <w:tcW w:type="dxa" w:w="7128"/>
            <w:vAlign w:val="center"/>
            <w:tcMar>
              <w:top w:w="70" w:type="dxa"/>
              <w:start w:w="90" w:type="dxa"/>
              <w:bottom w:w="70" w:type="dxa"/>
              <w:end w:w="90" w:type="dxa"/>
            </w:tcMar>
          </w:tcPr>
          <w:p>
            <w:pPr>
              <w:spacing w:after="20" w:line="259" w:lineRule="auto"/>
              <w:jc w:val="left"/>
            </w:pPr>
            <w:r>
              <w:rPr>
                <w:sz w:val="18"/>
              </w:rPr>
              <w:t>Columns 1–2, Rows 8–12. Extraction succeeds when the recovered objective enters any extraction-zone square.</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Initial squad formation</w:t>
            </w:r>
          </w:p>
        </w:tc>
        <w:tc>
          <w:tcPr>
            <w:tcW w:type="dxa" w:w="7128"/>
            <w:vAlign w:val="center"/>
            <w:tcMar>
              <w:top w:w="70" w:type="dxa"/>
              <w:start w:w="90" w:type="dxa"/>
              <w:bottom w:w="70" w:type="dxa"/>
              <w:end w:w="90" w:type="dxa"/>
            </w:tcMar>
          </w:tcPr>
          <w:p>
            <w:pPr>
              <w:spacing w:after="20" w:line="259" w:lineRule="auto"/>
              <w:jc w:val="left"/>
            </w:pPr>
            <w:r>
              <w:rPr>
                <w:sz w:val="18"/>
              </w:rPr>
              <w:t>S1 (11,1); S2 (10,1); S3 (12,1); S4 (11,2); S5 (10,2).</w:t>
            </w:r>
          </w:p>
        </w:tc>
      </w:tr>
    </w:tbl>
    <w:p/>
    <w:p>
      <w:pPr>
        <w:pStyle w:val="Heading1"/>
      </w:pPr>
      <w:r>
        <w:t>Movement and Action Set</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3312"/>
        <w:gridCol w:w="3312"/>
        <w:gridCol w:w="3312"/>
      </w:tblGrid>
      <w:tr>
        <w:trPr>
          <w:tblHeader w:val="true"/>
          <w:cantSplit/>
        </w:trPr>
        <w:tc>
          <w:tcPr>
            <w:tcW w:type="dxa" w:w="2232"/>
            <w:shd w:fill="DCE6F1"/>
            <w:vAlign w:val="center"/>
            <w:tcMar>
              <w:top w:w="75" w:type="dxa"/>
              <w:start w:w="95" w:type="dxa"/>
              <w:bottom w:w="75" w:type="dxa"/>
              <w:end w:w="95" w:type="dxa"/>
            </w:tcMar>
          </w:tcPr>
          <w:p>
            <w:pPr>
              <w:jc w:val="center"/>
            </w:pPr>
            <w:r>
              <w:rPr>
                <w:b/>
                <w:sz w:val="17"/>
              </w:rPr>
              <w:t>Action / mode</w:t>
            </w:r>
          </w:p>
        </w:tc>
        <w:tc>
          <w:tcPr>
            <w:tcW w:type="dxa" w:w="3744"/>
            <w:shd w:fill="DCE6F1"/>
            <w:vAlign w:val="center"/>
            <w:tcMar>
              <w:top w:w="75" w:type="dxa"/>
              <w:start w:w="95" w:type="dxa"/>
              <w:bottom w:w="75" w:type="dxa"/>
              <w:end w:w="95" w:type="dxa"/>
            </w:tcMar>
          </w:tcPr>
          <w:p>
            <w:pPr>
              <w:jc w:val="center"/>
            </w:pPr>
            <w:r>
              <w:rPr>
                <w:b/>
                <w:sz w:val="17"/>
              </w:rPr>
              <w:t>Benchmark rule</w:t>
            </w:r>
          </w:p>
        </w:tc>
        <w:tc>
          <w:tcPr>
            <w:tcW w:type="dxa" w:w="3528"/>
            <w:shd w:fill="DCE6F1"/>
            <w:vAlign w:val="center"/>
            <w:tcMar>
              <w:top w:w="75" w:type="dxa"/>
              <w:start w:w="95" w:type="dxa"/>
              <w:bottom w:w="75" w:type="dxa"/>
              <w:end w:w="95" w:type="dxa"/>
            </w:tcMar>
          </w:tcPr>
          <w:p>
            <w:pPr>
              <w:jc w:val="center"/>
            </w:pPr>
            <w:r>
              <w:rPr>
                <w:b/>
                <w:sz w:val="17"/>
              </w:rPr>
              <w:t>Notes</w:t>
            </w:r>
          </w:p>
        </w:tc>
      </w:tr>
      <w:tr>
        <w:trPr>
          <w:cantSplit/>
        </w:trPr>
        <w:tc>
          <w:tcPr>
            <w:tcW w:type="dxa" w:w="2232"/>
            <w:vAlign w:val="center"/>
            <w:tcMar>
              <w:top w:w="70" w:type="dxa"/>
              <w:start w:w="90" w:type="dxa"/>
              <w:bottom w:w="70" w:type="dxa"/>
              <w:end w:w="90" w:type="dxa"/>
            </w:tcMar>
            <w:shd w:fill="F6F8FA"/>
          </w:tcPr>
          <w:p>
            <w:pPr>
              <w:spacing w:after="20" w:line="259" w:lineRule="auto"/>
              <w:jc w:val="left"/>
            </w:pPr>
            <w:r>
              <w:rPr>
                <w:sz w:val="17"/>
              </w:rPr>
              <w:t>Unwounded movement</w:t>
            </w:r>
          </w:p>
        </w:tc>
        <w:tc>
          <w:tcPr>
            <w:tcW w:type="dxa" w:w="3744"/>
            <w:vAlign w:val="center"/>
            <w:tcMar>
              <w:top w:w="70" w:type="dxa"/>
              <w:start w:w="90" w:type="dxa"/>
              <w:bottom w:w="70" w:type="dxa"/>
              <w:end w:w="90" w:type="dxa"/>
            </w:tcMar>
          </w:tcPr>
          <w:p>
            <w:pPr>
              <w:spacing w:after="20" w:line="259" w:lineRule="auto"/>
              <w:jc w:val="left"/>
            </w:pPr>
            <w:r>
              <w:rPr>
                <w:sz w:val="17"/>
              </w:rPr>
              <w:t>Hold 0; Normal up to 1; Double-Time up to 2; Sprint up to 3</w:t>
            </w:r>
          </w:p>
        </w:tc>
        <w:tc>
          <w:tcPr>
            <w:tcW w:type="dxa" w:w="3528"/>
            <w:vAlign w:val="center"/>
            <w:tcMar>
              <w:top w:w="70" w:type="dxa"/>
              <w:start w:w="90" w:type="dxa"/>
              <w:bottom w:w="70" w:type="dxa"/>
              <w:end w:w="90" w:type="dxa"/>
            </w:tcMar>
          </w:tcPr>
          <w:p>
            <w:pPr>
              <w:spacing w:after="20" w:line="259" w:lineRule="auto"/>
              <w:jc w:val="left"/>
            </w:pPr>
            <w:r>
              <w:rPr>
                <w:sz w:val="17"/>
              </w:rPr>
              <w:t>Movement is orthogonal only in the baseline benchmark.</w:t>
            </w:r>
          </w:p>
        </w:tc>
      </w:tr>
      <w:tr>
        <w:trPr>
          <w:cantSplit/>
        </w:trPr>
        <w:tc>
          <w:tcPr>
            <w:tcW w:type="dxa" w:w="2232"/>
            <w:vAlign w:val="center"/>
            <w:tcMar>
              <w:top w:w="70" w:type="dxa"/>
              <w:start w:w="90" w:type="dxa"/>
              <w:bottom w:w="70" w:type="dxa"/>
              <w:end w:w="90" w:type="dxa"/>
            </w:tcMar>
            <w:shd w:fill="F6F8FA"/>
          </w:tcPr>
          <w:p>
            <w:pPr>
              <w:spacing w:after="20" w:line="259" w:lineRule="auto"/>
              <w:jc w:val="left"/>
            </w:pPr>
            <w:r>
              <w:rPr>
                <w:sz w:val="17"/>
              </w:rPr>
              <w:t>Wounded movement</w:t>
            </w:r>
          </w:p>
        </w:tc>
        <w:tc>
          <w:tcPr>
            <w:tcW w:type="dxa" w:w="3744"/>
            <w:vAlign w:val="center"/>
            <w:tcMar>
              <w:top w:w="70" w:type="dxa"/>
              <w:start w:w="90" w:type="dxa"/>
              <w:bottom w:w="70" w:type="dxa"/>
              <w:end w:w="90" w:type="dxa"/>
            </w:tcMar>
          </w:tcPr>
          <w:p>
            <w:pPr>
              <w:spacing w:after="20" w:line="259" w:lineRule="auto"/>
              <w:jc w:val="left"/>
            </w:pPr>
            <w:r>
              <w:rPr>
                <w:sz w:val="17"/>
              </w:rPr>
              <w:t>Hold / Rest; Normal Move up to 1</w:t>
            </w:r>
          </w:p>
        </w:tc>
        <w:tc>
          <w:tcPr>
            <w:tcW w:type="dxa" w:w="3528"/>
            <w:vAlign w:val="center"/>
            <w:tcMar>
              <w:top w:w="70" w:type="dxa"/>
              <w:start w:w="90" w:type="dxa"/>
              <w:bottom w:w="70" w:type="dxa"/>
              <w:end w:w="90" w:type="dxa"/>
            </w:tcMar>
          </w:tcPr>
          <w:p>
            <w:pPr>
              <w:spacing w:after="20" w:line="259" w:lineRule="auto"/>
              <w:jc w:val="left"/>
            </w:pPr>
            <w:r>
              <w:rPr>
                <w:sz w:val="17"/>
              </w:rPr>
              <w:t>No Double-Time or Sprint.</w:t>
            </w:r>
          </w:p>
        </w:tc>
      </w:tr>
      <w:tr>
        <w:trPr>
          <w:cantSplit/>
        </w:trPr>
        <w:tc>
          <w:tcPr>
            <w:tcW w:type="dxa" w:w="2232"/>
            <w:vAlign w:val="center"/>
            <w:tcMar>
              <w:top w:w="70" w:type="dxa"/>
              <w:start w:w="90" w:type="dxa"/>
              <w:bottom w:w="70" w:type="dxa"/>
              <w:end w:w="90" w:type="dxa"/>
            </w:tcMar>
            <w:shd w:fill="F6F8FA"/>
          </w:tcPr>
          <w:p>
            <w:pPr>
              <w:spacing w:after="20" w:line="259" w:lineRule="auto"/>
              <w:jc w:val="left"/>
            </w:pPr>
            <w:r>
              <w:rPr>
                <w:sz w:val="17"/>
              </w:rPr>
              <w:t>Dragging wounded</w:t>
            </w:r>
          </w:p>
        </w:tc>
        <w:tc>
          <w:tcPr>
            <w:tcW w:type="dxa" w:w="3744"/>
            <w:vAlign w:val="center"/>
            <w:tcMar>
              <w:top w:w="70" w:type="dxa"/>
              <w:start w:w="90" w:type="dxa"/>
              <w:bottom w:w="70" w:type="dxa"/>
              <w:end w:w="90" w:type="dxa"/>
            </w:tcMar>
          </w:tcPr>
          <w:p>
            <w:pPr>
              <w:spacing w:after="20" w:line="259" w:lineRule="auto"/>
              <w:jc w:val="left"/>
            </w:pPr>
            <w:r>
              <w:rPr>
                <w:sz w:val="17"/>
              </w:rPr>
              <w:t>Unwounded adjacent soldier may drag wounded soldier up to 1 square</w:t>
            </w:r>
          </w:p>
        </w:tc>
        <w:tc>
          <w:tcPr>
            <w:tcW w:type="dxa" w:w="3528"/>
            <w:vAlign w:val="center"/>
            <w:tcMar>
              <w:top w:w="70" w:type="dxa"/>
              <w:start w:w="90" w:type="dxa"/>
              <w:bottom w:w="70" w:type="dxa"/>
              <w:end w:w="90" w:type="dxa"/>
            </w:tcMar>
          </w:tcPr>
          <w:p>
            <w:pPr>
              <w:spacing w:after="20" w:line="259" w:lineRule="auto"/>
              <w:jc w:val="left"/>
            </w:pPr>
            <w:r>
              <w:rPr>
                <w:sz w:val="17"/>
              </w:rPr>
              <w:t>No Double-Time or Sprint; effective exposure worsens by one level where possible.</w:t>
            </w:r>
          </w:p>
        </w:tc>
      </w:tr>
      <w:tr>
        <w:trPr>
          <w:cantSplit/>
        </w:trPr>
        <w:tc>
          <w:tcPr>
            <w:tcW w:type="dxa" w:w="2232"/>
            <w:vAlign w:val="center"/>
            <w:tcMar>
              <w:top w:w="70" w:type="dxa"/>
              <w:start w:w="90" w:type="dxa"/>
              <w:bottom w:w="70" w:type="dxa"/>
              <w:end w:w="90" w:type="dxa"/>
            </w:tcMar>
            <w:shd w:fill="F6F8FA"/>
          </w:tcPr>
          <w:p>
            <w:pPr>
              <w:spacing w:after="20" w:line="259" w:lineRule="auto"/>
              <w:jc w:val="left"/>
            </w:pPr>
            <w:r>
              <w:rPr>
                <w:sz w:val="17"/>
              </w:rPr>
              <w:t>Carrying objective</w:t>
            </w:r>
          </w:p>
        </w:tc>
        <w:tc>
          <w:tcPr>
            <w:tcW w:type="dxa" w:w="3744"/>
            <w:vAlign w:val="center"/>
            <w:tcMar>
              <w:top w:w="70" w:type="dxa"/>
              <w:start w:w="90" w:type="dxa"/>
              <w:bottom w:w="70" w:type="dxa"/>
              <w:end w:w="90" w:type="dxa"/>
            </w:tcMar>
          </w:tcPr>
          <w:p>
            <w:pPr>
              <w:spacing w:after="20" w:line="259" w:lineRule="auto"/>
              <w:jc w:val="left"/>
            </w:pPr>
            <w:r>
              <w:rPr>
                <w:sz w:val="17"/>
              </w:rPr>
              <w:t>Full-mobility carrier up to 2 squares; wounded or reduced-mobility carrier up to 1</w:t>
            </w:r>
          </w:p>
        </w:tc>
        <w:tc>
          <w:tcPr>
            <w:tcW w:type="dxa" w:w="3528"/>
            <w:vAlign w:val="center"/>
            <w:tcMar>
              <w:top w:w="70" w:type="dxa"/>
              <w:start w:w="90" w:type="dxa"/>
              <w:bottom w:w="70" w:type="dxa"/>
              <w:end w:w="90" w:type="dxa"/>
            </w:tcMar>
          </w:tcPr>
          <w:p>
            <w:pPr>
              <w:spacing w:after="20" w:line="259" w:lineRule="auto"/>
              <w:jc w:val="left"/>
            </w:pPr>
            <w:r>
              <w:rPr>
                <w:sz w:val="17"/>
              </w:rPr>
              <w:t>Objective transfer between adjacent soldiers is allowed and consumes the tick.</w:t>
            </w:r>
          </w:p>
        </w:tc>
      </w:tr>
      <w:tr>
        <w:trPr>
          <w:cantSplit/>
        </w:trPr>
        <w:tc>
          <w:tcPr>
            <w:tcW w:type="dxa" w:w="2232"/>
            <w:vAlign w:val="center"/>
            <w:tcMar>
              <w:top w:w="70" w:type="dxa"/>
              <w:start w:w="90" w:type="dxa"/>
              <w:bottom w:w="70" w:type="dxa"/>
              <w:end w:w="90" w:type="dxa"/>
            </w:tcMar>
            <w:shd w:fill="F6F8FA"/>
          </w:tcPr>
          <w:p>
            <w:pPr>
              <w:spacing w:after="20" w:line="259" w:lineRule="auto"/>
              <w:jc w:val="left"/>
            </w:pPr>
            <w:r>
              <w:rPr>
                <w:sz w:val="17"/>
              </w:rPr>
              <w:t>Other actions</w:t>
            </w:r>
          </w:p>
        </w:tc>
        <w:tc>
          <w:tcPr>
            <w:tcW w:type="dxa" w:w="3744"/>
            <w:vAlign w:val="center"/>
            <w:tcMar>
              <w:top w:w="70" w:type="dxa"/>
              <w:start w:w="90" w:type="dxa"/>
              <w:bottom w:w="70" w:type="dxa"/>
              <w:end w:w="90" w:type="dxa"/>
            </w:tcMar>
          </w:tcPr>
          <w:p>
            <w:pPr>
              <w:spacing w:after="20" w:line="259" w:lineRule="auto"/>
              <w:jc w:val="left"/>
            </w:pPr>
            <w:r>
              <w:rPr>
                <w:sz w:val="17"/>
              </w:rPr>
              <w:t>Hold position; move toward objective; move toward extraction; pick up objective; remain in cover; drag wounded; absorb grenade blast if event-active and reachable</w:t>
            </w:r>
          </w:p>
        </w:tc>
        <w:tc>
          <w:tcPr>
            <w:tcW w:type="dxa" w:w="3528"/>
            <w:vAlign w:val="center"/>
            <w:tcMar>
              <w:top w:w="70" w:type="dxa"/>
              <w:start w:w="90" w:type="dxa"/>
              <w:bottom w:w="70" w:type="dxa"/>
              <w:end w:w="90" w:type="dxa"/>
            </w:tcMar>
          </w:tcPr>
          <w:p>
            <w:pPr>
              <w:spacing w:after="20" w:line="259" w:lineRule="auto"/>
              <w:jc w:val="left"/>
            </w:pPr>
            <w:r>
              <w:rPr>
                <w:sz w:val="17"/>
              </w:rPr>
              <w:t>Absorb is subject to local reach and countdown constraints.</w:t>
            </w:r>
          </w:p>
        </w:tc>
      </w:tr>
    </w:tbl>
    <w:p/>
    <w:p>
      <w:pPr>
        <w:pStyle w:val="Heading1"/>
      </w:pPr>
      <w:r>
        <w:t>Threat Structure</w:t>
      </w:r>
    </w:p>
    <w:p>
      <w:pPr>
        <w:pStyle w:val="Heading2"/>
      </w:pPr>
      <w:r>
        <w:t>Background Enemy Fire</w:t>
      </w:r>
    </w:p>
    <w:p>
      <w:r>
        <w:t>Enemy fire is modeled abstractly rather than through explicit enemy agents. Each exposed soldier receives one fire-risk evaluation per tick.</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2484"/>
        <w:gridCol w:w="2484"/>
        <w:gridCol w:w="2484"/>
        <w:gridCol w:w="2484"/>
      </w:tblGrid>
      <w:tr>
        <w:trPr>
          <w:tblHeader w:val="true"/>
          <w:cantSplit/>
        </w:trPr>
        <w:tc>
          <w:tcPr>
            <w:tcW w:type="dxa" w:w="2160"/>
            <w:shd w:fill="DCE6F1"/>
            <w:vAlign w:val="center"/>
            <w:tcMar>
              <w:top w:w="75" w:type="dxa"/>
              <w:start w:w="95" w:type="dxa"/>
              <w:bottom w:w="75" w:type="dxa"/>
              <w:end w:w="95" w:type="dxa"/>
            </w:tcMar>
          </w:tcPr>
          <w:p>
            <w:pPr>
              <w:jc w:val="center"/>
            </w:pPr>
            <w:r>
              <w:rPr>
                <w:b/>
                <w:sz w:val="18"/>
              </w:rPr>
              <w:t>Exposure</w:t>
            </w:r>
          </w:p>
        </w:tc>
        <w:tc>
          <w:tcPr>
            <w:tcW w:type="dxa" w:w="1440"/>
            <w:shd w:fill="DCE6F1"/>
            <w:vAlign w:val="center"/>
            <w:tcMar>
              <w:top w:w="75" w:type="dxa"/>
              <w:start w:w="95" w:type="dxa"/>
              <w:bottom w:w="75" w:type="dxa"/>
              <w:end w:w="95" w:type="dxa"/>
            </w:tcMar>
          </w:tcPr>
          <w:p>
            <w:pPr>
              <w:jc w:val="center"/>
            </w:pPr>
            <w:r>
              <w:rPr>
                <w:b/>
                <w:sz w:val="18"/>
              </w:rPr>
              <w:t>Wound %</w:t>
            </w:r>
          </w:p>
        </w:tc>
        <w:tc>
          <w:tcPr>
            <w:tcW w:type="dxa" w:w="1440"/>
            <w:shd w:fill="DCE6F1"/>
            <w:vAlign w:val="center"/>
            <w:tcMar>
              <w:top w:w="75" w:type="dxa"/>
              <w:start w:w="95" w:type="dxa"/>
              <w:bottom w:w="75" w:type="dxa"/>
              <w:end w:w="95" w:type="dxa"/>
            </w:tcMar>
          </w:tcPr>
          <w:p>
            <w:pPr>
              <w:jc w:val="center"/>
            </w:pPr>
            <w:r>
              <w:rPr>
                <w:b/>
                <w:sz w:val="18"/>
              </w:rPr>
              <w:t>Kill %</w:t>
            </w:r>
          </w:p>
        </w:tc>
        <w:tc>
          <w:tcPr>
            <w:tcW w:type="dxa" w:w="1728"/>
            <w:shd w:fill="DCE6F1"/>
            <w:vAlign w:val="center"/>
            <w:tcMar>
              <w:top w:w="75" w:type="dxa"/>
              <w:start w:w="95" w:type="dxa"/>
              <w:bottom w:w="75" w:type="dxa"/>
              <w:end w:w="95" w:type="dxa"/>
            </w:tcMar>
          </w:tcPr>
          <w:p>
            <w:pPr>
              <w:jc w:val="center"/>
            </w:pPr>
            <w:r>
              <w:rPr>
                <w:b/>
                <w:sz w:val="18"/>
              </w:rPr>
              <w:t>No effect %</w:t>
            </w:r>
          </w:p>
        </w:tc>
      </w:tr>
      <w:tr>
        <w:trPr>
          <w:cantSplit/>
        </w:trPr>
        <w:tc>
          <w:tcPr>
            <w:tcW w:type="dxa" w:w="2160"/>
            <w:vAlign w:val="center"/>
            <w:tcMar>
              <w:top w:w="70" w:type="dxa"/>
              <w:start w:w="90" w:type="dxa"/>
              <w:bottom w:w="70" w:type="dxa"/>
              <w:end w:w="90" w:type="dxa"/>
            </w:tcMar>
            <w:shd w:fill="F6F8FA"/>
          </w:tcPr>
          <w:p>
            <w:pPr>
              <w:spacing w:after="20" w:line="259" w:lineRule="auto"/>
              <w:jc w:val="center"/>
            </w:pPr>
            <w:r>
              <w:rPr>
                <w:sz w:val="18"/>
              </w:rPr>
              <w:t>E2 high</w:t>
            </w:r>
          </w:p>
        </w:tc>
        <w:tc>
          <w:tcPr>
            <w:tcW w:type="dxa" w:w="1440"/>
            <w:vAlign w:val="center"/>
            <w:tcMar>
              <w:top w:w="70" w:type="dxa"/>
              <w:start w:w="90" w:type="dxa"/>
              <w:bottom w:w="70" w:type="dxa"/>
              <w:end w:w="90" w:type="dxa"/>
            </w:tcMar>
          </w:tcPr>
          <w:p>
            <w:pPr>
              <w:spacing w:after="20" w:line="259" w:lineRule="auto"/>
              <w:jc w:val="center"/>
            </w:pPr>
            <w:r>
              <w:rPr>
                <w:sz w:val="18"/>
              </w:rPr>
              <w:t>20</w:t>
            </w:r>
          </w:p>
        </w:tc>
        <w:tc>
          <w:tcPr>
            <w:tcW w:type="dxa" w:w="1440"/>
            <w:vAlign w:val="center"/>
            <w:tcMar>
              <w:top w:w="70" w:type="dxa"/>
              <w:start w:w="90" w:type="dxa"/>
              <w:bottom w:w="70" w:type="dxa"/>
              <w:end w:w="90" w:type="dxa"/>
            </w:tcMar>
          </w:tcPr>
          <w:p>
            <w:pPr>
              <w:spacing w:after="20" w:line="259" w:lineRule="auto"/>
              <w:jc w:val="center"/>
            </w:pPr>
            <w:r>
              <w:rPr>
                <w:sz w:val="18"/>
              </w:rPr>
              <w:t>5</w:t>
            </w:r>
          </w:p>
        </w:tc>
        <w:tc>
          <w:tcPr>
            <w:tcW w:type="dxa" w:w="1728"/>
            <w:vAlign w:val="center"/>
            <w:tcMar>
              <w:top w:w="70" w:type="dxa"/>
              <w:start w:w="90" w:type="dxa"/>
              <w:bottom w:w="70" w:type="dxa"/>
              <w:end w:w="90" w:type="dxa"/>
            </w:tcMar>
          </w:tcPr>
          <w:p>
            <w:pPr>
              <w:spacing w:after="20" w:line="259" w:lineRule="auto"/>
              <w:jc w:val="center"/>
            </w:pPr>
            <w:r>
              <w:rPr>
                <w:sz w:val="18"/>
              </w:rPr>
              <w:t>75</w:t>
            </w:r>
          </w:p>
        </w:tc>
      </w:tr>
      <w:tr>
        <w:trPr>
          <w:cantSplit/>
        </w:trPr>
        <w:tc>
          <w:tcPr>
            <w:tcW w:type="dxa" w:w="2160"/>
            <w:vAlign w:val="center"/>
            <w:tcMar>
              <w:top w:w="70" w:type="dxa"/>
              <w:start w:w="90" w:type="dxa"/>
              <w:bottom w:w="70" w:type="dxa"/>
              <w:end w:w="90" w:type="dxa"/>
            </w:tcMar>
            <w:shd w:fill="F6F8FA"/>
          </w:tcPr>
          <w:p>
            <w:pPr>
              <w:spacing w:after="20" w:line="259" w:lineRule="auto"/>
              <w:jc w:val="left"/>
            </w:pPr>
            <w:r>
              <w:rPr>
                <w:sz w:val="18"/>
              </w:rPr>
              <w:t>E1 moderate</w:t>
            </w:r>
          </w:p>
        </w:tc>
        <w:tc>
          <w:tcPr>
            <w:tcW w:type="dxa" w:w="1440"/>
            <w:vAlign w:val="center"/>
            <w:tcMar>
              <w:top w:w="70" w:type="dxa"/>
              <w:start w:w="90" w:type="dxa"/>
              <w:bottom w:w="70" w:type="dxa"/>
              <w:end w:w="90" w:type="dxa"/>
            </w:tcMar>
          </w:tcPr>
          <w:p>
            <w:pPr>
              <w:spacing w:after="20" w:line="259" w:lineRule="auto"/>
              <w:jc w:val="center"/>
            </w:pPr>
            <w:r>
              <w:rPr>
                <w:sz w:val="18"/>
              </w:rPr>
              <w:t>10</w:t>
            </w:r>
          </w:p>
        </w:tc>
        <w:tc>
          <w:tcPr>
            <w:tcW w:type="dxa" w:w="1440"/>
            <w:vAlign w:val="center"/>
            <w:tcMar>
              <w:top w:w="70" w:type="dxa"/>
              <w:start w:w="90" w:type="dxa"/>
              <w:bottom w:w="70" w:type="dxa"/>
              <w:end w:w="90" w:type="dxa"/>
            </w:tcMar>
          </w:tcPr>
          <w:p>
            <w:pPr>
              <w:spacing w:after="20" w:line="259" w:lineRule="auto"/>
              <w:jc w:val="center"/>
            </w:pPr>
            <w:r>
              <w:rPr>
                <w:sz w:val="18"/>
              </w:rPr>
              <w:t>2</w:t>
            </w:r>
          </w:p>
        </w:tc>
        <w:tc>
          <w:tcPr>
            <w:tcW w:type="dxa" w:w="1728"/>
            <w:vAlign w:val="center"/>
            <w:tcMar>
              <w:top w:w="70" w:type="dxa"/>
              <w:start w:w="90" w:type="dxa"/>
              <w:bottom w:w="70" w:type="dxa"/>
              <w:end w:w="90" w:type="dxa"/>
            </w:tcMar>
          </w:tcPr>
          <w:p>
            <w:pPr>
              <w:spacing w:after="20" w:line="259" w:lineRule="auto"/>
              <w:jc w:val="center"/>
            </w:pPr>
            <w:r>
              <w:rPr>
                <w:sz w:val="18"/>
              </w:rPr>
              <w:t>88</w:t>
            </w:r>
          </w:p>
        </w:tc>
      </w:tr>
      <w:tr>
        <w:trPr>
          <w:cantSplit/>
        </w:trPr>
        <w:tc>
          <w:tcPr>
            <w:tcW w:type="dxa" w:w="2160"/>
            <w:vAlign w:val="center"/>
            <w:tcMar>
              <w:top w:w="70" w:type="dxa"/>
              <w:start w:w="90" w:type="dxa"/>
              <w:bottom w:w="70" w:type="dxa"/>
              <w:end w:w="90" w:type="dxa"/>
            </w:tcMar>
            <w:shd w:fill="F6F8FA"/>
          </w:tcPr>
          <w:p>
            <w:pPr>
              <w:spacing w:after="20" w:line="259" w:lineRule="auto"/>
              <w:jc w:val="center"/>
            </w:pPr>
            <w:r>
              <w:rPr>
                <w:sz w:val="18"/>
              </w:rPr>
              <w:t>E0 low</w:t>
            </w:r>
          </w:p>
        </w:tc>
        <w:tc>
          <w:tcPr>
            <w:tcW w:type="dxa" w:w="1440"/>
            <w:vAlign w:val="center"/>
            <w:tcMar>
              <w:top w:w="70" w:type="dxa"/>
              <w:start w:w="90" w:type="dxa"/>
              <w:bottom w:w="70" w:type="dxa"/>
              <w:end w:w="90" w:type="dxa"/>
            </w:tcMar>
          </w:tcPr>
          <w:p>
            <w:pPr>
              <w:spacing w:after="20" w:line="259" w:lineRule="auto"/>
              <w:jc w:val="center"/>
            </w:pPr>
            <w:r>
              <w:rPr>
                <w:sz w:val="18"/>
              </w:rPr>
              <w:t>3</w:t>
            </w:r>
          </w:p>
        </w:tc>
        <w:tc>
          <w:tcPr>
            <w:tcW w:type="dxa" w:w="1440"/>
            <w:vAlign w:val="center"/>
            <w:tcMar>
              <w:top w:w="70" w:type="dxa"/>
              <w:start w:w="90" w:type="dxa"/>
              <w:bottom w:w="70" w:type="dxa"/>
              <w:end w:w="90" w:type="dxa"/>
            </w:tcMar>
          </w:tcPr>
          <w:p>
            <w:pPr>
              <w:spacing w:after="20" w:line="259" w:lineRule="auto"/>
              <w:jc w:val="center"/>
            </w:pPr>
            <w:r>
              <w:rPr>
                <w:sz w:val="18"/>
              </w:rPr>
              <w:t>1</w:t>
            </w:r>
          </w:p>
        </w:tc>
        <w:tc>
          <w:tcPr>
            <w:tcW w:type="dxa" w:w="1728"/>
            <w:vAlign w:val="center"/>
            <w:tcMar>
              <w:top w:w="70" w:type="dxa"/>
              <w:start w:w="90" w:type="dxa"/>
              <w:bottom w:w="70" w:type="dxa"/>
              <w:end w:w="90" w:type="dxa"/>
            </w:tcMar>
          </w:tcPr>
          <w:p>
            <w:pPr>
              <w:spacing w:after="20" w:line="259" w:lineRule="auto"/>
              <w:jc w:val="center"/>
            </w:pPr>
            <w:r>
              <w:rPr>
                <w:sz w:val="18"/>
              </w:rPr>
              <w:t>96</w:t>
            </w:r>
          </w:p>
        </w:tc>
      </w:tr>
    </w:tbl>
    <w:p/>
    <w:p>
      <w:r>
        <w:t>A wound typically drops Integrity from I2 to I1 and Mobility from M3 to M2. A kill drops Integrity to I0 and Mobility to M0.</w:t>
      </w:r>
    </w:p>
    <w:p>
      <w:pPr>
        <w:pStyle w:val="Heading2"/>
      </w:pPr>
      <w:r>
        <w:t>Grenade Event Mechanics</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4968"/>
        <w:gridCol w:w="4968"/>
      </w:tblGrid>
      <w:tr>
        <w:trPr>
          <w:tblHeader w:val="true"/>
          <w:cantSplit/>
        </w:trPr>
        <w:tc>
          <w:tcPr>
            <w:tcW w:type="dxa" w:w="2880"/>
            <w:shd w:fill="DCE6F1"/>
            <w:vAlign w:val="center"/>
            <w:tcMar>
              <w:top w:w="75" w:type="dxa"/>
              <w:start w:w="95" w:type="dxa"/>
              <w:bottom w:w="75" w:type="dxa"/>
              <w:end w:w="95" w:type="dxa"/>
            </w:tcMar>
          </w:tcPr>
          <w:p>
            <w:pPr>
              <w:jc w:val="center"/>
            </w:pPr>
            <w:r>
              <w:rPr>
                <w:b/>
                <w:sz w:val="18"/>
              </w:rPr>
              <w:t>Mechanic</w:t>
            </w:r>
          </w:p>
        </w:tc>
        <w:tc>
          <w:tcPr>
            <w:tcW w:type="dxa" w:w="6624"/>
            <w:shd w:fill="DCE6F1"/>
            <w:vAlign w:val="center"/>
            <w:tcMar>
              <w:top w:w="75" w:type="dxa"/>
              <w:start w:w="95" w:type="dxa"/>
              <w:bottom w:w="75" w:type="dxa"/>
              <w:end w:w="95" w:type="dxa"/>
            </w:tcMar>
          </w:tcPr>
          <w:p>
            <w:pPr>
              <w:jc w:val="center"/>
            </w:pPr>
            <w:r>
              <w:rPr>
                <w:b/>
                <w:sz w:val="18"/>
              </w:rPr>
              <w:t>Benchmark rule</w:t>
            </w:r>
          </w:p>
        </w:tc>
      </w:tr>
      <w:tr>
        <w:trPr>
          <w:cantSplit/>
        </w:trPr>
        <w:tc>
          <w:tcPr>
            <w:tcW w:type="dxa" w:w="2880"/>
            <w:vAlign w:val="center"/>
            <w:tcMar>
              <w:top w:w="70" w:type="dxa"/>
              <w:start w:w="90" w:type="dxa"/>
              <w:bottom w:w="70" w:type="dxa"/>
              <w:end w:w="90" w:type="dxa"/>
            </w:tcMar>
            <w:shd w:fill="F6F8FA"/>
          </w:tcPr>
          <w:p>
            <w:pPr>
              <w:spacing w:after="20" w:line="259" w:lineRule="auto"/>
              <w:jc w:val="left"/>
            </w:pPr>
            <w:r>
              <w:rPr>
                <w:sz w:val="18"/>
              </w:rPr>
              <w:t>Activation</w:t>
            </w:r>
          </w:p>
        </w:tc>
        <w:tc>
          <w:tcPr>
            <w:tcW w:type="dxa" w:w="6624"/>
            <w:vAlign w:val="center"/>
            <w:tcMar>
              <w:top w:w="70" w:type="dxa"/>
              <w:start w:w="90" w:type="dxa"/>
              <w:bottom w:w="70" w:type="dxa"/>
              <w:end w:w="90" w:type="dxa"/>
            </w:tcMar>
          </w:tcPr>
          <w:p>
            <w:pPr>
              <w:spacing w:after="20" w:line="259" w:lineRule="auto"/>
              <w:jc w:val="left"/>
            </w:pPr>
            <w:r>
              <w:rPr>
                <w:sz w:val="18"/>
              </w:rPr>
              <w:t>A grenade may appear during designated scripted cases or during later stochastic runs; scripted or tightly controlled events are preferred for benchmark use.</w:t>
            </w:r>
          </w:p>
        </w:tc>
      </w:tr>
      <w:tr>
        <w:trPr>
          <w:cantSplit/>
        </w:trPr>
        <w:tc>
          <w:tcPr>
            <w:tcW w:type="dxa" w:w="2880"/>
            <w:vAlign w:val="center"/>
            <w:tcMar>
              <w:top w:w="70" w:type="dxa"/>
              <w:start w:w="90" w:type="dxa"/>
              <w:bottom w:w="70" w:type="dxa"/>
              <w:end w:w="90" w:type="dxa"/>
            </w:tcMar>
            <w:shd w:fill="F6F8FA"/>
          </w:tcPr>
          <w:p>
            <w:pPr>
              <w:spacing w:after="20" w:line="259" w:lineRule="auto"/>
              <w:jc w:val="center"/>
            </w:pPr>
            <w:r>
              <w:rPr>
                <w:sz w:val="18"/>
              </w:rPr>
              <w:t>Countdown</w:t>
            </w:r>
          </w:p>
        </w:tc>
        <w:tc>
          <w:tcPr>
            <w:tcW w:type="dxa" w:w="6624"/>
            <w:vAlign w:val="center"/>
            <w:tcMar>
              <w:top w:w="70" w:type="dxa"/>
              <w:start w:w="90" w:type="dxa"/>
              <w:bottom w:w="70" w:type="dxa"/>
              <w:end w:w="90" w:type="dxa"/>
            </w:tcMar>
          </w:tcPr>
          <w:p>
            <w:pPr>
              <w:spacing w:after="20" w:line="259" w:lineRule="auto"/>
              <w:jc w:val="left"/>
            </w:pPr>
            <w:r>
              <w:rPr>
                <w:sz w:val="18"/>
              </w:rPr>
              <w:t>The grenade detonates one tick after appearance.</w:t>
            </w:r>
          </w:p>
        </w:tc>
      </w:tr>
      <w:tr>
        <w:trPr>
          <w:cantSplit/>
        </w:trPr>
        <w:tc>
          <w:tcPr>
            <w:tcW w:type="dxa" w:w="2880"/>
            <w:vAlign w:val="center"/>
            <w:tcMar>
              <w:top w:w="70" w:type="dxa"/>
              <w:start w:w="90" w:type="dxa"/>
              <w:bottom w:w="70" w:type="dxa"/>
              <w:end w:w="90" w:type="dxa"/>
            </w:tcMar>
            <w:shd w:fill="F6F8FA"/>
          </w:tcPr>
          <w:p>
            <w:pPr>
              <w:spacing w:after="20" w:line="259" w:lineRule="auto"/>
              <w:jc w:val="left"/>
            </w:pPr>
            <w:r>
              <w:rPr>
                <w:sz w:val="18"/>
              </w:rPr>
              <w:t>Blast zones</w:t>
            </w:r>
          </w:p>
        </w:tc>
        <w:tc>
          <w:tcPr>
            <w:tcW w:type="dxa" w:w="6624"/>
            <w:vAlign w:val="center"/>
            <w:tcMar>
              <w:top w:w="70" w:type="dxa"/>
              <w:start w:w="90" w:type="dxa"/>
              <w:bottom w:w="70" w:type="dxa"/>
              <w:end w:w="90" w:type="dxa"/>
            </w:tcMar>
          </w:tcPr>
          <w:p>
            <w:pPr>
              <w:spacing w:after="20" w:line="259" w:lineRule="auto"/>
              <w:jc w:val="left"/>
            </w:pPr>
            <w:r>
              <w:rPr>
                <w:sz w:val="18"/>
              </w:rPr>
              <w:t>Center square and adjacent orthogonal squares; diagonal blast is excluded in the baseline benchmark.</w:t>
            </w:r>
          </w:p>
        </w:tc>
      </w:tr>
      <w:tr>
        <w:trPr>
          <w:cantSplit/>
        </w:trPr>
        <w:tc>
          <w:tcPr>
            <w:tcW w:type="dxa" w:w="2880"/>
            <w:vAlign w:val="center"/>
            <w:tcMar>
              <w:top w:w="70" w:type="dxa"/>
              <w:start w:w="90" w:type="dxa"/>
              <w:bottom w:w="70" w:type="dxa"/>
              <w:end w:w="90" w:type="dxa"/>
            </w:tcMar>
            <w:shd w:fill="F6F8FA"/>
          </w:tcPr>
          <w:p>
            <w:pPr>
              <w:spacing w:after="20" w:line="259" w:lineRule="auto"/>
              <w:jc w:val="left"/>
            </w:pPr>
            <w:r>
              <w:rPr>
                <w:sz w:val="18"/>
              </w:rPr>
              <w:t>Blast outcomes without absorption</w:t>
            </w:r>
          </w:p>
        </w:tc>
        <w:tc>
          <w:tcPr>
            <w:tcW w:type="dxa" w:w="6624"/>
            <w:vAlign w:val="center"/>
            <w:tcMar>
              <w:top w:w="70" w:type="dxa"/>
              <w:start w:w="90" w:type="dxa"/>
              <w:bottom w:w="70" w:type="dxa"/>
              <w:end w:w="90" w:type="dxa"/>
            </w:tcMar>
          </w:tcPr>
          <w:p>
            <w:pPr>
              <w:spacing w:after="20" w:line="259" w:lineRule="auto"/>
              <w:jc w:val="left"/>
            </w:pPr>
            <w:r>
              <w:rPr>
                <w:sz w:val="18"/>
              </w:rPr>
              <w:t>Center square: 95% kill / 5% wound. Adjacent orthogonal squares: 50% kill / 35% wound / 15% no effect.</w:t>
            </w:r>
          </w:p>
        </w:tc>
      </w:tr>
      <w:tr>
        <w:trPr>
          <w:cantSplit/>
        </w:trPr>
        <w:tc>
          <w:tcPr>
            <w:tcW w:type="dxa" w:w="2880"/>
            <w:vAlign w:val="center"/>
            <w:tcMar>
              <w:top w:w="70" w:type="dxa"/>
              <w:start w:w="90" w:type="dxa"/>
              <w:bottom w:w="70" w:type="dxa"/>
              <w:end w:w="90" w:type="dxa"/>
            </w:tcMar>
            <w:shd w:fill="F6F8FA"/>
          </w:tcPr>
          <w:p>
            <w:pPr>
              <w:spacing w:after="20" w:line="259" w:lineRule="auto"/>
              <w:jc w:val="left"/>
            </w:pPr>
            <w:r>
              <w:rPr>
                <w:sz w:val="18"/>
              </w:rPr>
              <w:t>Blast outcomes with successful absorption</w:t>
            </w:r>
          </w:p>
        </w:tc>
        <w:tc>
          <w:tcPr>
            <w:tcW w:type="dxa" w:w="6624"/>
            <w:vAlign w:val="center"/>
            <w:tcMar>
              <w:top w:w="70" w:type="dxa"/>
              <w:start w:w="90" w:type="dxa"/>
              <w:bottom w:w="70" w:type="dxa"/>
              <w:end w:w="90" w:type="dxa"/>
            </w:tcMar>
          </w:tcPr>
          <w:p>
            <w:pPr>
              <w:spacing w:after="20" w:line="259" w:lineRule="auto"/>
              <w:jc w:val="left"/>
            </w:pPr>
            <w:r>
              <w:rPr>
                <w:sz w:val="18"/>
              </w:rPr>
              <w:t>Absorbing soldier: 95% kill / 5% wound. Adjacent orthogonal squares: 10% wound / 90% no effect.</w:t>
            </w:r>
          </w:p>
        </w:tc>
      </w:tr>
      <w:tr>
        <w:trPr>
          <w:cantSplit/>
        </w:trPr>
        <w:tc>
          <w:tcPr>
            <w:tcW w:type="dxa" w:w="2880"/>
            <w:vAlign w:val="center"/>
            <w:tcMar>
              <w:top w:w="70" w:type="dxa"/>
              <w:start w:w="90" w:type="dxa"/>
              <w:bottom w:w="70" w:type="dxa"/>
              <w:end w:w="90" w:type="dxa"/>
            </w:tcMar>
            <w:shd w:fill="F6F8FA"/>
          </w:tcPr>
          <w:p>
            <w:pPr>
              <w:spacing w:after="20" w:line="259" w:lineRule="auto"/>
              <w:jc w:val="left"/>
            </w:pPr>
            <w:r>
              <w:rPr>
                <w:sz w:val="18"/>
              </w:rPr>
              <w:t>Absorb action availability</w:t>
            </w:r>
          </w:p>
        </w:tc>
        <w:tc>
          <w:tcPr>
            <w:tcW w:type="dxa" w:w="6624"/>
            <w:vAlign w:val="center"/>
            <w:tcMar>
              <w:top w:w="70" w:type="dxa"/>
              <w:start w:w="90" w:type="dxa"/>
              <w:bottom w:w="70" w:type="dxa"/>
              <w:end w:w="90" w:type="dxa"/>
            </w:tcMar>
          </w:tcPr>
          <w:p>
            <w:pPr>
              <w:spacing w:after="20" w:line="259" w:lineRule="auto"/>
              <w:jc w:val="left"/>
            </w:pPr>
            <w:r>
              <w:rPr>
                <w:sz w:val="18"/>
              </w:rPr>
              <w:t>Available only if the grenade is active, the soldier is already on the grenade square or can reach it within the tick, movement allowance permits reaching it, and the countdown has not expired.</w:t>
            </w:r>
          </w:p>
        </w:tc>
      </w:tr>
      <w:tr>
        <w:trPr>
          <w:cantSplit/>
        </w:trPr>
        <w:tc>
          <w:tcPr>
            <w:tcW w:type="dxa" w:w="2880"/>
            <w:vAlign w:val="center"/>
            <w:tcMar>
              <w:top w:w="70" w:type="dxa"/>
              <w:start w:w="90" w:type="dxa"/>
              <w:bottom w:w="70" w:type="dxa"/>
              <w:end w:w="90" w:type="dxa"/>
            </w:tcMar>
            <w:shd w:fill="F6F8FA"/>
          </w:tcPr>
          <w:p>
            <w:pPr>
              <w:spacing w:after="20" w:line="259" w:lineRule="auto"/>
              <w:jc w:val="left"/>
            </w:pPr>
            <w:r>
              <w:rPr>
                <w:sz w:val="18"/>
              </w:rPr>
              <w:t>Interpretation</w:t>
            </w:r>
          </w:p>
        </w:tc>
        <w:tc>
          <w:tcPr>
            <w:tcW w:type="dxa" w:w="6624"/>
            <w:vAlign w:val="center"/>
            <w:tcMar>
              <w:top w:w="70" w:type="dxa"/>
              <w:start w:w="90" w:type="dxa"/>
              <w:bottom w:w="70" w:type="dxa"/>
              <w:end w:w="90" w:type="dxa"/>
            </w:tcMar>
          </w:tcPr>
          <w:p>
            <w:pPr>
              <w:spacing w:after="20" w:line="259" w:lineRule="auto"/>
              <w:jc w:val="left"/>
            </w:pPr>
            <w:r>
              <w:rPr>
                <w:sz w:val="18"/>
              </w:rPr>
              <w:t>Absorb is intentionally rare, locally constrained, individually catastrophic, and structurally important only in narrow cases.</w:t>
            </w:r>
          </w:p>
        </w:tc>
      </w:tr>
    </w:tbl>
    <w:p/>
    <w:p>
      <w:pPr>
        <w:pStyle w:val="Heading1"/>
      </w:pPr>
      <w:r>
        <w:t>Governing Structure and Decision Logic</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4968"/>
        <w:gridCol w:w="4968"/>
      </w:tblGrid>
      <w:tr>
        <w:trPr>
          <w:tblHeader w:val="true"/>
          <w:cantSplit/>
        </w:trPr>
        <w:tc>
          <w:tcPr>
            <w:tcW w:type="dxa" w:w="2376"/>
            <w:shd w:fill="DCE6F1"/>
            <w:vAlign w:val="center"/>
            <w:tcMar>
              <w:top w:w="75" w:type="dxa"/>
              <w:start w:w="95" w:type="dxa"/>
              <w:bottom w:w="75" w:type="dxa"/>
              <w:end w:w="95" w:type="dxa"/>
            </w:tcMar>
          </w:tcPr>
          <w:p>
            <w:pPr>
              <w:jc w:val="center"/>
            </w:pPr>
            <w:r>
              <w:rPr>
                <w:b/>
                <w:sz w:val="18"/>
              </w:rPr>
              <w:t>Concept</w:t>
            </w:r>
          </w:p>
        </w:tc>
        <w:tc>
          <w:tcPr>
            <w:tcW w:type="dxa" w:w="7128"/>
            <w:shd w:fill="DCE6F1"/>
            <w:vAlign w:val="center"/>
            <w:tcMar>
              <w:top w:w="75" w:type="dxa"/>
              <w:start w:w="95" w:type="dxa"/>
              <w:bottom w:w="75" w:type="dxa"/>
              <w:end w:w="95" w:type="dxa"/>
            </w:tcMar>
          </w:tcPr>
          <w:p>
            <w:pPr>
              <w:jc w:val="center"/>
            </w:pPr>
            <w:r>
              <w:rPr>
                <w:b/>
                <w:sz w:val="18"/>
              </w:rPr>
              <w:t>Benchmark rule</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Baseline governance</w:t>
            </w:r>
          </w:p>
        </w:tc>
        <w:tc>
          <w:tcPr>
            <w:tcW w:type="dxa" w:w="7128"/>
            <w:vAlign w:val="center"/>
            <w:tcMar>
              <w:top w:w="70" w:type="dxa"/>
              <w:start w:w="90" w:type="dxa"/>
              <w:bottom w:w="70" w:type="dxa"/>
              <w:end w:w="90" w:type="dxa"/>
            </w:tcMar>
          </w:tcPr>
          <w:p>
            <w:pPr>
              <w:spacing w:after="20" w:line="259" w:lineRule="auto"/>
              <w:jc w:val="left"/>
            </w:pPr>
            <w:r>
              <w:rPr>
                <w:sz w:val="18"/>
              </w:rPr>
              <w:t>Under ordinary mission advance or extraction, the likely governing domains are Mission Continuity and Squad Viability. Cohesion and the individual domains function as supporting structure.</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Acute governing shift</w:t>
            </w:r>
          </w:p>
        </w:tc>
        <w:tc>
          <w:tcPr>
            <w:tcW w:type="dxa" w:w="7128"/>
            <w:vAlign w:val="center"/>
            <w:tcMar>
              <w:top w:w="70" w:type="dxa"/>
              <w:start w:w="90" w:type="dxa"/>
              <w:bottom w:w="70" w:type="dxa"/>
              <w:end w:w="90" w:type="dxa"/>
            </w:tcMar>
          </w:tcPr>
          <w:p>
            <w:pPr>
              <w:spacing w:after="20" w:line="259" w:lineRule="auto"/>
              <w:jc w:val="left"/>
            </w:pPr>
            <w:r>
              <w:rPr>
                <w:sz w:val="18"/>
              </w:rPr>
              <w:t>When a grenade appears, governance does not automatically shift. Immediate Squad Viability becomes governing-critical only when the grenade threatens two or more soldiers in the center or adjacent blast zone, at least one threatened soldier cannot clear by ordinary movement, expected non-absorb blast would reduce the squad to SV1 or SV0 or critically collapse Cohesion, and an absorb-capable soldier can reach the grenade in time.</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Joint governance</w:t>
            </w:r>
          </w:p>
        </w:tc>
        <w:tc>
          <w:tcPr>
            <w:tcW w:type="dxa" w:w="7128"/>
            <w:vAlign w:val="center"/>
            <w:tcMar>
              <w:top w:w="70" w:type="dxa"/>
              <w:start w:w="90" w:type="dxa"/>
              <w:bottom w:w="70" w:type="dxa"/>
              <w:end w:w="90" w:type="dxa"/>
            </w:tcMar>
          </w:tcPr>
          <w:p>
            <w:pPr>
              <w:spacing w:after="20" w:line="259" w:lineRule="auto"/>
              <w:jc w:val="left"/>
            </w:pPr>
            <w:r>
              <w:rPr>
                <w:sz w:val="18"/>
              </w:rPr>
              <w:t>In some grenade cases, Squad Viability and Mission Continuity govern jointly, especially when the objective carrier is threatened, extraction is already fragile, and the loss of several members would collapse both the squad and the mission path.</w:t>
            </w:r>
          </w:p>
        </w:tc>
      </w:tr>
    </w:tbl>
    <w:p/>
    <w:p>
      <w:r>
        <w:t>This governing-shift rule is the structural hinge of the benchmark. Without it, the scenario collapses into arbitrary scope-picking or body-count maximization.</w:t>
      </w:r>
    </w:p>
    <w:p>
      <w:pPr>
        <w:pStyle w:val="Heading2"/>
      </w:pPr>
      <w:r>
        <w:t>Feasibility and Adequacy</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4968"/>
        <w:gridCol w:w="4968"/>
      </w:tblGrid>
      <w:tr>
        <w:trPr>
          <w:tblHeader w:val="true"/>
          <w:cantSplit/>
        </w:trPr>
        <w:tc>
          <w:tcPr>
            <w:tcW w:type="dxa" w:w="2376"/>
            <w:shd w:fill="DCE6F1"/>
            <w:vAlign w:val="center"/>
            <w:tcMar>
              <w:top w:w="75" w:type="dxa"/>
              <w:start w:w="95" w:type="dxa"/>
              <w:bottom w:w="75" w:type="dxa"/>
              <w:end w:w="95" w:type="dxa"/>
            </w:tcMar>
          </w:tcPr>
          <w:p>
            <w:pPr>
              <w:jc w:val="center"/>
            </w:pPr>
            <w:r>
              <w:rPr>
                <w:b/>
                <w:sz w:val="18"/>
              </w:rPr>
              <w:t>Concept</w:t>
            </w:r>
          </w:p>
        </w:tc>
        <w:tc>
          <w:tcPr>
            <w:tcW w:type="dxa" w:w="7128"/>
            <w:shd w:fill="DCE6F1"/>
            <w:vAlign w:val="center"/>
            <w:tcMar>
              <w:top w:w="75" w:type="dxa"/>
              <w:start w:w="95" w:type="dxa"/>
              <w:bottom w:w="75" w:type="dxa"/>
              <w:end w:w="95" w:type="dxa"/>
            </w:tcMar>
          </w:tcPr>
          <w:p>
            <w:pPr>
              <w:jc w:val="center"/>
            </w:pPr>
            <w:r>
              <w:rPr>
                <w:b/>
                <w:sz w:val="18"/>
              </w:rPr>
              <w:t>Benchmark rule</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Feasibility</w:t>
            </w:r>
          </w:p>
        </w:tc>
        <w:tc>
          <w:tcPr>
            <w:tcW w:type="dxa" w:w="7128"/>
            <w:vAlign w:val="center"/>
            <w:tcMar>
              <w:top w:w="70" w:type="dxa"/>
              <w:start w:w="90" w:type="dxa"/>
              <w:bottom w:w="70" w:type="dxa"/>
              <w:end w:w="90" w:type="dxa"/>
            </w:tcMar>
          </w:tcPr>
          <w:p>
            <w:pPr>
              <w:spacing w:after="20" w:line="259" w:lineRule="auto"/>
              <w:jc w:val="left"/>
            </w:pPr>
            <w:r>
              <w:rPr>
                <w:sz w:val="18"/>
              </w:rPr>
              <w:t>A policy is feasible if it can actually be executed under current terrain burden, movement capacity, timer compression, and local geometry. Feasibility does not imply adequacy.</w:t>
            </w:r>
          </w:p>
        </w:tc>
      </w:tr>
      <w:tr>
        <w:trPr>
          <w:cantSplit/>
        </w:trPr>
        <w:tc>
          <w:tcPr>
            <w:tcW w:type="dxa" w:w="2376"/>
            <w:vAlign w:val="center"/>
            <w:tcMar>
              <w:top w:w="70" w:type="dxa"/>
              <w:start w:w="90" w:type="dxa"/>
              <w:bottom w:w="70" w:type="dxa"/>
              <w:end w:w="90" w:type="dxa"/>
            </w:tcMar>
            <w:shd w:fill="F6F8FA"/>
          </w:tcPr>
          <w:p>
            <w:pPr>
              <w:spacing w:after="20" w:line="259" w:lineRule="auto"/>
              <w:jc w:val="center"/>
            </w:pPr>
            <w:r>
              <w:rPr>
                <w:sz w:val="18"/>
              </w:rPr>
              <w:t>Adequacy</w:t>
            </w:r>
          </w:p>
        </w:tc>
        <w:tc>
          <w:tcPr>
            <w:tcW w:type="dxa" w:w="7128"/>
            <w:vAlign w:val="center"/>
            <w:tcMar>
              <w:top w:w="70" w:type="dxa"/>
              <w:start w:w="90" w:type="dxa"/>
              <w:bottom w:w="70" w:type="dxa"/>
              <w:end w:w="90" w:type="dxa"/>
            </w:tcMar>
          </w:tcPr>
          <w:p>
            <w:pPr>
              <w:spacing w:after="20" w:line="259" w:lineRule="auto"/>
              <w:jc w:val="left"/>
            </w:pPr>
            <w:r>
              <w:rPr>
                <w:sz w:val="18"/>
              </w:rPr>
              <w:t>A policy is adequate only if it preserves the currently governing structure. Local individual survival is not enough if the squad-level structure collapses; temporary delay is not enough if extraction becomes impossible.</w:t>
            </w:r>
          </w:p>
        </w:tc>
      </w:tr>
      <w:tr>
        <w:trPr>
          <w:cantSplit/>
        </w:trPr>
        <w:tc>
          <w:tcPr>
            <w:tcW w:type="dxa" w:w="2376"/>
            <w:vAlign w:val="center"/>
            <w:tcMar>
              <w:top w:w="70" w:type="dxa"/>
              <w:start w:w="90" w:type="dxa"/>
              <w:bottom w:w="70" w:type="dxa"/>
              <w:end w:w="90" w:type="dxa"/>
            </w:tcMar>
            <w:shd w:fill="F6F8FA"/>
          </w:tcPr>
          <w:p>
            <w:pPr>
              <w:spacing w:after="20" w:line="259" w:lineRule="auto"/>
              <w:jc w:val="left"/>
            </w:pPr>
            <w:r>
              <w:rPr>
                <w:sz w:val="18"/>
              </w:rPr>
              <w:t>Grenade adequacy rule</w:t>
            </w:r>
          </w:p>
        </w:tc>
        <w:tc>
          <w:tcPr>
            <w:tcW w:type="dxa" w:w="7128"/>
            <w:vAlign w:val="center"/>
            <w:tcMar>
              <w:top w:w="70" w:type="dxa"/>
              <w:start w:w="90" w:type="dxa"/>
              <w:bottom w:w="70" w:type="dxa"/>
              <w:end w:w="90" w:type="dxa"/>
            </w:tcMar>
          </w:tcPr>
          <w:p>
            <w:pPr>
              <w:spacing w:after="20" w:line="259" w:lineRule="auto"/>
              <w:jc w:val="left"/>
            </w:pPr>
            <w:r>
              <w:rPr>
                <w:sz w:val="18"/>
              </w:rPr>
              <w:t>Absorb counts as adequate only if without absorb the expected blast would collapse or critically degrade the governing structure, and with absorb the squad remains structurally viable enough to continue or extract.</w:t>
            </w:r>
          </w:p>
        </w:tc>
      </w:tr>
    </w:tbl>
    <w:p/>
    <w:p>
      <w:r>
        <w:t>This is the anti-romantic restriction of the benchmark. Sacrifice is not automatically meaningful just because it is sacrificial.</w:t>
      </w:r>
    </w:p>
    <w:p>
      <w:pPr>
        <w:pStyle w:val="Heading1"/>
      </w:pPr>
      <w:r>
        <w:t>Scripted Benchmark Classes</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3312"/>
        <w:gridCol w:w="3312"/>
        <w:gridCol w:w="3312"/>
      </w:tblGrid>
      <w:tr>
        <w:trPr>
          <w:tblHeader w:val="true"/>
          <w:cantSplit/>
        </w:trPr>
        <w:tc>
          <w:tcPr>
            <w:tcW w:type="dxa" w:w="2592"/>
            <w:shd w:fill="DCE6F1"/>
            <w:vAlign w:val="center"/>
            <w:tcMar>
              <w:top w:w="75" w:type="dxa"/>
              <w:start w:w="95" w:type="dxa"/>
              <w:bottom w:w="75" w:type="dxa"/>
              <w:end w:w="95" w:type="dxa"/>
            </w:tcMar>
          </w:tcPr>
          <w:p>
            <w:pPr>
              <w:jc w:val="center"/>
            </w:pPr>
            <w:r>
              <w:rPr>
                <w:b/>
                <w:sz w:val="17"/>
              </w:rPr>
              <w:t>Class</w:t>
            </w:r>
          </w:p>
        </w:tc>
        <w:tc>
          <w:tcPr>
            <w:tcW w:type="dxa" w:w="2808"/>
            <w:shd w:fill="DCE6F1"/>
            <w:vAlign w:val="center"/>
            <w:tcMar>
              <w:top w:w="75" w:type="dxa"/>
              <w:start w:w="95" w:type="dxa"/>
              <w:bottom w:w="75" w:type="dxa"/>
              <w:end w:w="95" w:type="dxa"/>
            </w:tcMar>
          </w:tcPr>
          <w:p>
            <w:pPr>
              <w:jc w:val="center"/>
            </w:pPr>
            <w:r>
              <w:rPr>
                <w:b/>
                <w:sz w:val="17"/>
              </w:rPr>
              <w:t>Purpose</w:t>
            </w:r>
          </w:p>
        </w:tc>
        <w:tc>
          <w:tcPr>
            <w:tcW w:type="dxa" w:w="4104"/>
            <w:shd w:fill="DCE6F1"/>
            <w:vAlign w:val="center"/>
            <w:tcMar>
              <w:top w:w="75" w:type="dxa"/>
              <w:start w:w="95" w:type="dxa"/>
              <w:bottom w:w="75" w:type="dxa"/>
              <w:end w:w="95" w:type="dxa"/>
            </w:tcMar>
          </w:tcPr>
          <w:p>
            <w:pPr>
              <w:jc w:val="center"/>
            </w:pPr>
            <w:r>
              <w:rPr>
                <w:b/>
                <w:sz w:val="17"/>
              </w:rPr>
              <w:t>Expected result</w:t>
            </w:r>
          </w:p>
        </w:tc>
      </w:tr>
      <w:tr>
        <w:trPr>
          <w:cantSplit/>
        </w:trPr>
        <w:tc>
          <w:tcPr>
            <w:tcW w:type="dxa" w:w="2592"/>
            <w:vAlign w:val="center"/>
            <w:tcMar>
              <w:top w:w="70" w:type="dxa"/>
              <w:start w:w="90" w:type="dxa"/>
              <w:bottom w:w="70" w:type="dxa"/>
              <w:end w:w="90" w:type="dxa"/>
            </w:tcMar>
            <w:shd w:fill="F6F8FA"/>
          </w:tcPr>
          <w:p>
            <w:pPr>
              <w:spacing w:after="20" w:line="259" w:lineRule="auto"/>
              <w:jc w:val="left"/>
            </w:pPr>
            <w:r>
              <w:rPr>
                <w:sz w:val="17"/>
              </w:rPr>
              <w:t>Class A — Irrelevant grenade</w:t>
            </w:r>
          </w:p>
        </w:tc>
        <w:tc>
          <w:tcPr>
            <w:tcW w:type="dxa" w:w="2808"/>
            <w:vAlign w:val="center"/>
            <w:tcMar>
              <w:top w:w="70" w:type="dxa"/>
              <w:start w:w="90" w:type="dxa"/>
              <w:bottom w:w="70" w:type="dxa"/>
              <w:end w:w="90" w:type="dxa"/>
            </w:tcMar>
          </w:tcPr>
          <w:p>
            <w:pPr>
              <w:spacing w:after="20" w:line="259" w:lineRule="auto"/>
              <w:jc w:val="left"/>
            </w:pPr>
            <w:r>
              <w:rPr>
                <w:sz w:val="17"/>
              </w:rPr>
              <w:t>Test non-overreaction</w:t>
            </w:r>
          </w:p>
        </w:tc>
        <w:tc>
          <w:tcPr>
            <w:tcW w:type="dxa" w:w="4104"/>
            <w:vAlign w:val="center"/>
            <w:tcMar>
              <w:top w:w="70" w:type="dxa"/>
              <w:start w:w="90" w:type="dxa"/>
              <w:bottom w:w="70" w:type="dxa"/>
              <w:end w:w="90" w:type="dxa"/>
            </w:tcMar>
          </w:tcPr>
          <w:p>
            <w:pPr>
              <w:spacing w:after="20" w:line="259" w:lineRule="auto"/>
              <w:jc w:val="left"/>
            </w:pPr>
            <w:r>
              <w:rPr>
                <w:sz w:val="17"/>
              </w:rPr>
              <w:t>No sacrifice; ordinary mission advance continues.</w:t>
            </w:r>
          </w:p>
        </w:tc>
      </w:tr>
      <w:tr>
        <w:trPr>
          <w:cantSplit/>
        </w:trPr>
        <w:tc>
          <w:tcPr>
            <w:tcW w:type="dxa" w:w="2592"/>
            <w:vAlign w:val="center"/>
            <w:tcMar>
              <w:top w:w="70" w:type="dxa"/>
              <w:start w:w="90" w:type="dxa"/>
              <w:bottom w:w="70" w:type="dxa"/>
              <w:end w:w="90" w:type="dxa"/>
            </w:tcMar>
            <w:shd w:fill="F6F8FA"/>
          </w:tcPr>
          <w:p>
            <w:pPr>
              <w:spacing w:after="20" w:line="259" w:lineRule="auto"/>
              <w:jc w:val="left"/>
            </w:pPr>
            <w:r>
              <w:rPr>
                <w:sz w:val="17"/>
              </w:rPr>
              <w:t>Class B — Dangerous but escapable grenade</w:t>
            </w:r>
          </w:p>
        </w:tc>
        <w:tc>
          <w:tcPr>
            <w:tcW w:type="dxa" w:w="2808"/>
            <w:vAlign w:val="center"/>
            <w:tcMar>
              <w:top w:w="70" w:type="dxa"/>
              <w:start w:w="90" w:type="dxa"/>
              <w:bottom w:w="70" w:type="dxa"/>
              <w:end w:w="90" w:type="dxa"/>
            </w:tcMar>
          </w:tcPr>
          <w:p>
            <w:pPr>
              <w:spacing w:after="20" w:line="259" w:lineRule="auto"/>
              <w:jc w:val="left"/>
            </w:pPr>
            <w:r>
              <w:rPr>
                <w:sz w:val="17"/>
              </w:rPr>
              <w:t>Test preference for ordinary repositioning when feasible</w:t>
            </w:r>
          </w:p>
        </w:tc>
        <w:tc>
          <w:tcPr>
            <w:tcW w:type="dxa" w:w="4104"/>
            <w:vAlign w:val="center"/>
            <w:tcMar>
              <w:top w:w="70" w:type="dxa"/>
              <w:start w:w="90" w:type="dxa"/>
              <w:bottom w:w="70" w:type="dxa"/>
              <w:end w:w="90" w:type="dxa"/>
            </w:tcMar>
          </w:tcPr>
          <w:p>
            <w:pPr>
              <w:spacing w:after="20" w:line="259" w:lineRule="auto"/>
              <w:jc w:val="left"/>
            </w:pPr>
            <w:r>
              <w:rPr>
                <w:sz w:val="17"/>
              </w:rPr>
              <w:t>Scatter / reposition; no sacrifice.</w:t>
            </w:r>
          </w:p>
        </w:tc>
      </w:tr>
      <w:tr>
        <w:trPr>
          <w:cantSplit/>
        </w:trPr>
        <w:tc>
          <w:tcPr>
            <w:tcW w:type="dxa" w:w="2592"/>
            <w:vAlign w:val="center"/>
            <w:tcMar>
              <w:top w:w="70" w:type="dxa"/>
              <w:start w:w="90" w:type="dxa"/>
              <w:bottom w:w="70" w:type="dxa"/>
              <w:end w:w="90" w:type="dxa"/>
            </w:tcMar>
            <w:shd w:fill="F6F8FA"/>
          </w:tcPr>
          <w:p>
            <w:pPr>
              <w:spacing w:after="20" w:line="259" w:lineRule="auto"/>
              <w:jc w:val="left"/>
            </w:pPr>
            <w:r>
              <w:rPr>
                <w:sz w:val="17"/>
              </w:rPr>
              <w:t>Class C — Damaging but non-governing grenade</w:t>
            </w:r>
          </w:p>
        </w:tc>
        <w:tc>
          <w:tcPr>
            <w:tcW w:type="dxa" w:w="2808"/>
            <w:vAlign w:val="center"/>
            <w:tcMar>
              <w:top w:w="70" w:type="dxa"/>
              <w:start w:w="90" w:type="dxa"/>
              <w:bottom w:w="70" w:type="dxa"/>
              <w:end w:w="90" w:type="dxa"/>
            </w:tcMar>
          </w:tcPr>
          <w:p>
            <w:pPr>
              <w:spacing w:after="20" w:line="259" w:lineRule="auto"/>
              <w:jc w:val="left"/>
            </w:pPr>
            <w:r>
              <w:rPr>
                <w:sz w:val="17"/>
              </w:rPr>
              <w:t>Test tolerance for local damage without escalating every threat into a sacrificial case</w:t>
            </w:r>
          </w:p>
        </w:tc>
        <w:tc>
          <w:tcPr>
            <w:tcW w:type="dxa" w:w="4104"/>
            <w:vAlign w:val="center"/>
            <w:tcMar>
              <w:top w:w="70" w:type="dxa"/>
              <w:start w:w="90" w:type="dxa"/>
              <w:bottom w:w="70" w:type="dxa"/>
              <w:end w:w="90" w:type="dxa"/>
            </w:tcMar>
          </w:tcPr>
          <w:p>
            <w:pPr>
              <w:spacing w:after="20" w:line="259" w:lineRule="auto"/>
              <w:jc w:val="left"/>
            </w:pPr>
            <w:r>
              <w:rPr>
                <w:sz w:val="17"/>
              </w:rPr>
              <w:t>Possible local loss; no sacrificial absorb in the standard reading; regrouping and mission continuation remain possible.</w:t>
            </w:r>
          </w:p>
        </w:tc>
      </w:tr>
      <w:tr>
        <w:trPr>
          <w:cantSplit/>
        </w:trPr>
        <w:tc>
          <w:tcPr>
            <w:tcW w:type="dxa" w:w="2592"/>
            <w:vAlign w:val="center"/>
            <w:tcMar>
              <w:top w:w="70" w:type="dxa"/>
              <w:start w:w="90" w:type="dxa"/>
              <w:bottom w:w="70" w:type="dxa"/>
              <w:end w:w="90" w:type="dxa"/>
            </w:tcMar>
            <w:shd w:fill="F6F8FA"/>
          </w:tcPr>
          <w:p>
            <w:pPr>
              <w:spacing w:after="20" w:line="259" w:lineRule="auto"/>
              <w:jc w:val="left"/>
            </w:pPr>
            <w:r>
              <w:rPr>
                <w:sz w:val="17"/>
              </w:rPr>
              <w:t>Class D — Compressed governing-critical grenade</w:t>
            </w:r>
          </w:p>
        </w:tc>
        <w:tc>
          <w:tcPr>
            <w:tcW w:type="dxa" w:w="2808"/>
            <w:vAlign w:val="center"/>
            <w:tcMar>
              <w:top w:w="70" w:type="dxa"/>
              <w:start w:w="90" w:type="dxa"/>
              <w:bottom w:w="70" w:type="dxa"/>
              <w:end w:w="90" w:type="dxa"/>
            </w:tcMar>
          </w:tcPr>
          <w:p>
            <w:pPr>
              <w:spacing w:after="20" w:line="259" w:lineRule="auto"/>
              <w:jc w:val="left"/>
            </w:pPr>
            <w:r>
              <w:rPr>
                <w:sz w:val="17"/>
              </w:rPr>
              <w:t>Test the real self-sacrifice condition</w:t>
            </w:r>
          </w:p>
        </w:tc>
        <w:tc>
          <w:tcPr>
            <w:tcW w:type="dxa" w:w="4104"/>
            <w:vAlign w:val="center"/>
            <w:tcMar>
              <w:top w:w="70" w:type="dxa"/>
              <w:start w:w="90" w:type="dxa"/>
              <w:bottom w:w="70" w:type="dxa"/>
              <w:end w:w="90" w:type="dxa"/>
            </w:tcMar>
          </w:tcPr>
          <w:p>
            <w:pPr>
              <w:spacing w:after="20" w:line="259" w:lineRule="auto"/>
              <w:jc w:val="left"/>
            </w:pPr>
            <w:r>
              <w:rPr>
                <w:sz w:val="17"/>
              </w:rPr>
              <w:t>Immediate governing shift toward Squad Viability, often jointly threatening Mission Continuity; non-sacrificial alternatives fail feasibility or adequacy; absorb becomes the only adequate preserving policy.</w:t>
            </w:r>
          </w:p>
        </w:tc>
      </w:tr>
      <w:tr>
        <w:trPr>
          <w:cantSplit/>
        </w:trPr>
        <w:tc>
          <w:tcPr>
            <w:tcW w:type="dxa" w:w="2592"/>
            <w:vAlign w:val="center"/>
            <w:tcMar>
              <w:top w:w="70" w:type="dxa"/>
              <w:start w:w="90" w:type="dxa"/>
              <w:bottom w:w="70" w:type="dxa"/>
              <w:end w:w="90" w:type="dxa"/>
            </w:tcMar>
            <w:shd w:fill="F6F8FA"/>
          </w:tcPr>
          <w:p>
            <w:pPr>
              <w:spacing w:after="20" w:line="259" w:lineRule="auto"/>
              <w:jc w:val="left"/>
            </w:pPr>
            <w:r>
              <w:rPr>
                <w:sz w:val="17"/>
              </w:rPr>
              <w:t>Optional Class D2 — Sacrifice not adequate</w:t>
            </w:r>
          </w:p>
        </w:tc>
        <w:tc>
          <w:tcPr>
            <w:tcW w:type="dxa" w:w="2808"/>
            <w:vAlign w:val="center"/>
            <w:tcMar>
              <w:top w:w="70" w:type="dxa"/>
              <w:start w:w="90" w:type="dxa"/>
              <w:bottom w:w="70" w:type="dxa"/>
              <w:end w:w="90" w:type="dxa"/>
            </w:tcMar>
          </w:tcPr>
          <w:p>
            <w:pPr>
              <w:spacing w:after="20" w:line="259" w:lineRule="auto"/>
              <w:jc w:val="left"/>
            </w:pPr>
            <w:r>
              <w:rPr>
                <w:sz w:val="17"/>
              </w:rPr>
              <w:t>Test that the architecture does not glorify sacrifice when it preserves nothing structurally important</w:t>
            </w:r>
          </w:p>
        </w:tc>
        <w:tc>
          <w:tcPr>
            <w:tcW w:type="dxa" w:w="4104"/>
            <w:vAlign w:val="center"/>
            <w:tcMar>
              <w:top w:w="70" w:type="dxa"/>
              <w:start w:w="90" w:type="dxa"/>
              <w:bottom w:w="70" w:type="dxa"/>
              <w:end w:w="90" w:type="dxa"/>
            </w:tcMar>
          </w:tcPr>
          <w:p>
            <w:pPr>
              <w:spacing w:after="20" w:line="259" w:lineRule="auto"/>
              <w:jc w:val="left"/>
            </w:pPr>
            <w:r>
              <w:rPr>
                <w:sz w:val="17"/>
              </w:rPr>
              <w:t>Absorb may be physically possible but should not count as adequate if it preserves no meaningful higher-level structure.</w:t>
            </w:r>
          </w:p>
        </w:tc>
      </w:tr>
    </w:tbl>
    <w:p/>
    <w:p>
      <w:pPr>
        <w:pStyle w:val="Heading1"/>
      </w:pPr>
      <w:r>
        <w:t>Operational Workloads and Expected Pattern</w:t>
      </w:r>
    </w:p>
    <w:p>
      <w:r>
        <w:t>The current benchmark results are organized around the following workload ladder:</w:t>
      </w:r>
    </w:p>
    <w:p>
      <w:pPr>
        <w:pStyle w:val="ListBullet"/>
        <w:spacing w:after="40"/>
        <w:ind w:left="288"/>
      </w:pPr>
      <w:r>
        <w:rPr>
          <w:sz w:val="20"/>
        </w:rPr>
        <w:t>extraction_easy</w:t>
      </w:r>
    </w:p>
    <w:p>
      <w:pPr>
        <w:pStyle w:val="ListBullet"/>
        <w:spacing w:after="40"/>
        <w:ind w:left="288"/>
      </w:pPr>
      <w:r>
        <w:rPr>
          <w:sz w:val="20"/>
        </w:rPr>
        <w:t>extraction_moderate</w:t>
      </w:r>
    </w:p>
    <w:p>
      <w:pPr>
        <w:pStyle w:val="ListBullet"/>
        <w:spacing w:after="40"/>
        <w:ind w:left="288"/>
      </w:pPr>
      <w:r>
        <w:rPr>
          <w:sz w:val="20"/>
        </w:rPr>
        <w:t>extraction_difficult</w:t>
      </w:r>
    </w:p>
    <w:p>
      <w:pPr>
        <w:pStyle w:val="ListBullet"/>
        <w:spacing w:after="40"/>
        <w:ind w:left="288"/>
      </w:pPr>
      <w:r>
        <w:rPr>
          <w:sz w:val="20"/>
        </w:rPr>
        <w:t>extraction_improbable</w:t>
      </w:r>
    </w:p>
    <w:p>
      <w:pPr>
        <w:pStyle w:val="ListBullet"/>
        <w:spacing w:after="40"/>
        <w:ind w:left="288"/>
      </w:pPr>
      <w:r>
        <w:rPr>
          <w:sz w:val="20"/>
        </w:rPr>
        <w:t>mixed</w:t>
      </w:r>
    </w:p>
    <w:p>
      <w:r>
        <w:t>The intended empirical shape is convergence in easy cases, strongest divergence in moderate and difficult cases, partial reconvergence in the improbable tail case, and supplementary confirmation in the mixed workload.</w:t>
      </w:r>
    </w:p>
    <w:p>
      <w:r>
        <w:t>This workload ladder belongs in the specification because it defines the benchmark family. Outcome magnitudes, however, belong in the results document rather than being hard-coded here.</w:t>
      </w:r>
    </w:p>
    <w:p>
      <w:pPr>
        <w:pStyle w:val="Heading1"/>
      </w:pPr>
      <w:r>
        <w:t>Primary Output Metrics</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4968"/>
        <w:gridCol w:w="4968"/>
      </w:tblGrid>
      <w:tr>
        <w:trPr>
          <w:tblHeader w:val="true"/>
          <w:cantSplit/>
        </w:trPr>
        <w:tc>
          <w:tcPr>
            <w:tcW w:type="dxa" w:w="3024"/>
            <w:shd w:fill="DCE6F1"/>
            <w:vAlign w:val="center"/>
            <w:tcMar>
              <w:top w:w="75" w:type="dxa"/>
              <w:start w:w="95" w:type="dxa"/>
              <w:bottom w:w="75" w:type="dxa"/>
              <w:end w:w="95" w:type="dxa"/>
            </w:tcMar>
          </w:tcPr>
          <w:p>
            <w:pPr>
              <w:jc w:val="center"/>
            </w:pPr>
            <w:r>
              <w:rPr>
                <w:b/>
                <w:sz w:val="18"/>
              </w:rPr>
              <w:t>Metric group</w:t>
            </w:r>
          </w:p>
        </w:tc>
        <w:tc>
          <w:tcPr>
            <w:tcW w:type="dxa" w:w="6480"/>
            <w:shd w:fill="DCE6F1"/>
            <w:vAlign w:val="center"/>
            <w:tcMar>
              <w:top w:w="75" w:type="dxa"/>
              <w:start w:w="95" w:type="dxa"/>
              <w:bottom w:w="75" w:type="dxa"/>
              <w:end w:w="95" w:type="dxa"/>
            </w:tcMar>
          </w:tcPr>
          <w:p>
            <w:pPr>
              <w:jc w:val="center"/>
            </w:pPr>
            <w:r>
              <w:rPr>
                <w:b/>
                <w:sz w:val="18"/>
              </w:rPr>
              <w:t>Tracked outputs</w:t>
            </w:r>
          </w:p>
        </w:tc>
      </w:tr>
      <w:tr>
        <w:trPr>
          <w:cantSplit/>
        </w:trPr>
        <w:tc>
          <w:tcPr>
            <w:tcW w:type="dxa" w:w="3024"/>
            <w:vAlign w:val="center"/>
            <w:tcMar>
              <w:top w:w="70" w:type="dxa"/>
              <w:start w:w="90" w:type="dxa"/>
              <w:bottom w:w="70" w:type="dxa"/>
              <w:end w:w="90" w:type="dxa"/>
            </w:tcMar>
            <w:shd w:fill="F6F8FA"/>
          </w:tcPr>
          <w:p>
            <w:pPr>
              <w:spacing w:after="20" w:line="259" w:lineRule="auto"/>
              <w:jc w:val="left"/>
            </w:pPr>
            <w:r>
              <w:rPr>
                <w:sz w:val="18"/>
              </w:rPr>
              <w:t>Mission metrics</w:t>
            </w:r>
          </w:p>
        </w:tc>
        <w:tc>
          <w:tcPr>
            <w:tcW w:type="dxa" w:w="6480"/>
            <w:vAlign w:val="center"/>
            <w:tcMar>
              <w:top w:w="70" w:type="dxa"/>
              <w:start w:w="90" w:type="dxa"/>
              <w:bottom w:w="70" w:type="dxa"/>
              <w:end w:w="90" w:type="dxa"/>
            </w:tcMar>
          </w:tcPr>
          <w:p>
            <w:pPr>
              <w:spacing w:after="20" w:line="259" w:lineRule="auto"/>
              <w:jc w:val="left"/>
            </w:pPr>
            <w:r>
              <w:rPr>
                <w:sz w:val="18"/>
              </w:rPr>
              <w:t>Recoveree extracted; objective recovered; objective extracted.</w:t>
            </w:r>
          </w:p>
        </w:tc>
      </w:tr>
      <w:tr>
        <w:trPr>
          <w:cantSplit/>
        </w:trPr>
        <w:tc>
          <w:tcPr>
            <w:tcW w:type="dxa" w:w="3024"/>
            <w:vAlign w:val="center"/>
            <w:tcMar>
              <w:top w:w="70" w:type="dxa"/>
              <w:start w:w="90" w:type="dxa"/>
              <w:bottom w:w="70" w:type="dxa"/>
              <w:end w:w="90" w:type="dxa"/>
            </w:tcMar>
            <w:shd w:fill="F6F8FA"/>
          </w:tcPr>
          <w:p>
            <w:pPr>
              <w:spacing w:after="20" w:line="259" w:lineRule="auto"/>
              <w:jc w:val="left"/>
            </w:pPr>
            <w:r>
              <w:rPr>
                <w:sz w:val="18"/>
              </w:rPr>
              <w:t>Casualty and squad metrics</w:t>
            </w:r>
          </w:p>
        </w:tc>
        <w:tc>
          <w:tcPr>
            <w:tcW w:type="dxa" w:w="6480"/>
            <w:vAlign w:val="center"/>
            <w:tcMar>
              <w:top w:w="70" w:type="dxa"/>
              <w:start w:w="90" w:type="dxa"/>
              <w:bottom w:w="70" w:type="dxa"/>
              <w:end w:w="90" w:type="dxa"/>
            </w:tcMar>
          </w:tcPr>
          <w:p>
            <w:pPr>
              <w:spacing w:after="20" w:line="259" w:lineRule="auto"/>
              <w:jc w:val="left"/>
            </w:pPr>
            <w:r>
              <w:rPr>
                <w:sz w:val="18"/>
              </w:rPr>
              <w:t>Number dead; number wounded; number still mobile; final Squad Viability state; final Mission Continuity state; final Cohesion state.</w:t>
            </w:r>
          </w:p>
        </w:tc>
      </w:tr>
      <w:tr>
        <w:trPr>
          <w:cantSplit/>
        </w:trPr>
        <w:tc>
          <w:tcPr>
            <w:tcW w:type="dxa" w:w="3024"/>
            <w:vAlign w:val="center"/>
            <w:tcMar>
              <w:top w:w="70" w:type="dxa"/>
              <w:start w:w="90" w:type="dxa"/>
              <w:bottom w:w="70" w:type="dxa"/>
              <w:end w:w="90" w:type="dxa"/>
            </w:tcMar>
            <w:shd w:fill="F6F8FA"/>
          </w:tcPr>
          <w:p>
            <w:pPr>
              <w:spacing w:after="20" w:line="259" w:lineRule="auto"/>
              <w:jc w:val="left"/>
            </w:pPr>
            <w:r>
              <w:rPr>
                <w:sz w:val="18"/>
              </w:rPr>
              <w:t>Grenade-specific diagnostics</w:t>
            </w:r>
          </w:p>
        </w:tc>
        <w:tc>
          <w:tcPr>
            <w:tcW w:type="dxa" w:w="6480"/>
            <w:vAlign w:val="center"/>
            <w:tcMar>
              <w:top w:w="70" w:type="dxa"/>
              <w:start w:w="90" w:type="dxa"/>
              <w:bottom w:w="70" w:type="dxa"/>
              <w:end w:w="90" w:type="dxa"/>
            </w:tcMar>
          </w:tcPr>
          <w:p>
            <w:pPr>
              <w:spacing w:after="20" w:line="259" w:lineRule="auto"/>
              <w:jc w:val="left"/>
            </w:pPr>
            <w:r>
              <w:rPr>
                <w:sz w:val="18"/>
              </w:rPr>
              <w:t>Grenade class or scenario; absorb action taken; absorb adequate; absorb preserved squad-level structure; PV–PP-only extraction wins; baseline-only extraction wins.</w:t>
            </w:r>
          </w:p>
        </w:tc>
      </w:tr>
    </w:tbl>
    <w:p/>
    <w:p>
      <w:r>
        <w:t>Sacrifice frequency is not the success metric. A good architecture should avoid sacrifice in easy, irrelevant, dangerous-but-escapable, and most non-governing cases, and allow or select sacrifice only in narrow governing-critical cases.</w:t>
      </w:r>
    </w:p>
    <w:p>
      <w:pPr>
        <w:pStyle w:val="Heading1"/>
      </w:pPr>
      <w:r>
        <w:t>Replay and Trace Expectations</w:t>
      </w:r>
    </w:p>
    <w:p>
      <w:r>
        <w:t>The replay schema should support deterministic replay, side-by-side comparison of PV–PP and baseline, visual animation without rerunning benchmark logic, debugging of candidate generation / feasibility / adequacy / selected action, and later GitHub or demo use.</w:t>
      </w:r>
    </w:p>
    <w:p>
      <w:r>
        <w:t>One replay file should represent one benchmark episode, one case or scenario, one seed, and one paired comparison, with the same shared initial state and two model branches: pvpp and baseline_self_preserving. Each frame should be a full state snapshot rather than a diff.</w:t>
      </w:r>
    </w:p>
    <w:p>
      <w:pPr>
        <w:pStyle w:val="Heading1"/>
      </w:pPr>
      <w:r>
        <w:t>Explicit Baseline Exclusions</w:t>
      </w:r>
    </w:p>
    <w:p>
      <w:r>
        <w:t>The following are deliberately excluded from the baseline benchmark:</w:t>
      </w:r>
    </w:p>
    <w:p>
      <w:pPr>
        <w:pStyle w:val="ListBullet"/>
        <w:spacing w:after="40"/>
        <w:ind w:left="288"/>
      </w:pPr>
      <w:r>
        <w:rPr>
          <w:sz w:val="20"/>
        </w:rPr>
        <w:t>marriage or family-status variables</w:t>
      </w:r>
    </w:p>
    <w:p>
      <w:pPr>
        <w:pStyle w:val="ListBullet"/>
        <w:spacing w:after="40"/>
        <w:ind w:left="288"/>
      </w:pPr>
      <w:r>
        <w:rPr>
          <w:sz w:val="20"/>
        </w:rPr>
        <w:t>personality or heroism traits</w:t>
      </w:r>
    </w:p>
    <w:p>
      <w:pPr>
        <w:pStyle w:val="ListBullet"/>
        <w:spacing w:after="40"/>
        <w:ind w:left="288"/>
      </w:pPr>
      <w:r>
        <w:rPr>
          <w:sz w:val="20"/>
        </w:rPr>
        <w:t>morale systems</w:t>
      </w:r>
    </w:p>
    <w:p>
      <w:pPr>
        <w:pStyle w:val="ListBullet"/>
        <w:spacing w:after="40"/>
        <w:ind w:left="288"/>
      </w:pPr>
      <w:r>
        <w:rPr>
          <w:sz w:val="20"/>
        </w:rPr>
        <w:t>explicit enemy agents</w:t>
      </w:r>
    </w:p>
    <w:p>
      <w:pPr>
        <w:pStyle w:val="ListBullet"/>
        <w:spacing w:after="40"/>
        <w:ind w:left="288"/>
      </w:pPr>
      <w:r>
        <w:rPr>
          <w:sz w:val="20"/>
        </w:rPr>
        <w:t>dead-body square blocking</w:t>
      </w:r>
    </w:p>
    <w:p>
      <w:pPr>
        <w:pStyle w:val="ListBullet"/>
        <w:spacing w:after="40"/>
        <w:ind w:left="288"/>
      </w:pPr>
      <w:r>
        <w:rPr>
          <w:sz w:val="20"/>
        </w:rPr>
        <w:t>medic specialization</w:t>
      </w:r>
    </w:p>
    <w:p>
      <w:pPr>
        <w:pStyle w:val="ListBullet"/>
        <w:spacing w:after="40"/>
        <w:ind w:left="288"/>
      </w:pPr>
      <w:r>
        <w:rPr>
          <w:sz w:val="20"/>
        </w:rPr>
        <w:t>command hierarchy</w:t>
      </w:r>
    </w:p>
    <w:p>
      <w:pPr>
        <w:pStyle w:val="ListBullet"/>
        <w:spacing w:after="40"/>
        <w:ind w:left="288"/>
      </w:pPr>
      <w:r>
        <w:rPr>
          <w:sz w:val="20"/>
        </w:rPr>
        <w:t>communication lag</w:t>
      </w:r>
    </w:p>
    <w:p>
      <w:pPr>
        <w:pStyle w:val="ListBullet"/>
        <w:spacing w:after="40"/>
        <w:ind w:left="288"/>
      </w:pPr>
      <w:r>
        <w:rPr>
          <w:sz w:val="20"/>
        </w:rPr>
        <w:t>3D terrain</w:t>
      </w:r>
    </w:p>
    <w:p>
      <w:pPr>
        <w:pStyle w:val="ListBullet"/>
        <w:spacing w:after="40"/>
        <w:ind w:left="288"/>
      </w:pPr>
      <w:r>
        <w:rPr>
          <w:sz w:val="20"/>
        </w:rPr>
        <w:t>full psychological modeling</w:t>
      </w:r>
    </w:p>
    <w:p>
      <w:r>
        <w:t>These exclusions are deliberate. The baseline benchmark is meant to establish a clean structural discrimination test before additional realism layers are introduced.</w:t>
      </w:r>
    </w:p>
    <w:p>
      <w:pPr>
        <w:pStyle w:val="Heading1"/>
      </w:pPr>
      <w:r>
        <w:t>Relationship to Supporting Documents</w:t>
      </w:r>
    </w:p>
    <w:tbl>
      <w:tblPr>
        <w:tblStyle w:val="TableGrid"/>
        <w:tblW w:type="auto" w:w="0"/>
        <w:jc w:val="left"/>
        <w:tblLook w:firstColumn="1" w:firstRow="1" w:lastColumn="0" w:lastRow="0" w:noHBand="0" w:noVBand="1" w:val="04A0"/>
        <w:tblBorders>
          <w:top w:val="single" w:sz="8" w:color="C7D3E0"/>
          <w:left w:val="single" w:sz="8" w:color="C7D3E0"/>
          <w:bottom w:val="single" w:sz="8" w:color="C7D3E0"/>
          <w:right w:val="single" w:sz="8" w:color="C7D3E0"/>
          <w:insideH w:val="single" w:sz="8" w:color="C7D3E0"/>
          <w:insideV w:val="single" w:sz="8" w:color="C7D3E0"/>
        </w:tblBorders>
      </w:tblPr>
      <w:tblGrid>
        <w:gridCol w:w="4968"/>
        <w:gridCol w:w="4968"/>
      </w:tblGrid>
      <w:tr>
        <w:trPr>
          <w:tblHeader w:val="true"/>
          <w:cantSplit/>
        </w:trPr>
        <w:tc>
          <w:tcPr>
            <w:tcW w:type="dxa" w:w="3024"/>
            <w:shd w:fill="DCE6F1"/>
            <w:vAlign w:val="center"/>
            <w:tcMar>
              <w:top w:w="75" w:type="dxa"/>
              <w:start w:w="95" w:type="dxa"/>
              <w:bottom w:w="75" w:type="dxa"/>
              <w:end w:w="95" w:type="dxa"/>
            </w:tcMar>
          </w:tcPr>
          <w:p>
            <w:pPr>
              <w:jc w:val="center"/>
            </w:pPr>
            <w:r>
              <w:rPr>
                <w:b/>
                <w:sz w:val="18"/>
              </w:rPr>
              <w:t>Document</w:t>
            </w:r>
          </w:p>
        </w:tc>
        <w:tc>
          <w:tcPr>
            <w:tcW w:type="dxa" w:w="6480"/>
            <w:shd w:fill="DCE6F1"/>
            <w:vAlign w:val="center"/>
            <w:tcMar>
              <w:top w:w="75" w:type="dxa"/>
              <w:start w:w="95" w:type="dxa"/>
              <w:bottom w:w="75" w:type="dxa"/>
              <w:end w:w="95" w:type="dxa"/>
            </w:tcMar>
          </w:tcPr>
          <w:p>
            <w:pPr>
              <w:jc w:val="center"/>
            </w:pPr>
            <w:r>
              <w:rPr>
                <w:b/>
                <w:sz w:val="18"/>
              </w:rPr>
              <w:t>Role</w:t>
            </w:r>
          </w:p>
        </w:tc>
      </w:tr>
      <w:tr>
        <w:trPr>
          <w:cantSplit/>
        </w:trPr>
        <w:tc>
          <w:tcPr>
            <w:tcW w:type="dxa" w:w="3024"/>
            <w:vAlign w:val="center"/>
            <w:tcMar>
              <w:top w:w="70" w:type="dxa"/>
              <w:start w:w="90" w:type="dxa"/>
              <w:bottom w:w="70" w:type="dxa"/>
              <w:end w:w="90" w:type="dxa"/>
            </w:tcMar>
            <w:shd w:fill="F6F8FA"/>
          </w:tcPr>
          <w:p>
            <w:pPr>
              <w:spacing w:after="20" w:line="259" w:lineRule="auto"/>
              <w:jc w:val="left"/>
            </w:pPr>
            <w:r>
              <w:rPr>
                <w:sz w:val="18"/>
              </w:rPr>
              <w:t>PVPP Framework Benchmark Note.docx</w:t>
            </w:r>
          </w:p>
        </w:tc>
        <w:tc>
          <w:tcPr>
            <w:tcW w:type="dxa" w:w="6480"/>
            <w:vAlign w:val="center"/>
            <w:tcMar>
              <w:top w:w="70" w:type="dxa"/>
              <w:start w:w="90" w:type="dxa"/>
              <w:bottom w:w="70" w:type="dxa"/>
              <w:end w:w="90" w:type="dxa"/>
            </w:tcMar>
          </w:tcPr>
          <w:p>
            <w:pPr>
              <w:spacing w:after="20" w:line="259" w:lineRule="auto"/>
              <w:jc w:val="left"/>
            </w:pPr>
            <w:r>
              <w:rPr>
                <w:sz w:val="18"/>
              </w:rPr>
              <w:t>Benchmark-to-framework bridge and minimum benchmark-relevant PV–PP framework logic.</w:t>
            </w:r>
          </w:p>
        </w:tc>
      </w:tr>
      <w:tr>
        <w:trPr>
          <w:cantSplit/>
        </w:trPr>
        <w:tc>
          <w:tcPr>
            <w:tcW w:type="dxa" w:w="3024"/>
            <w:vAlign w:val="center"/>
            <w:tcMar>
              <w:top w:w="70" w:type="dxa"/>
              <w:start w:w="90" w:type="dxa"/>
              <w:bottom w:w="70" w:type="dxa"/>
              <w:end w:w="90" w:type="dxa"/>
            </w:tcMar>
            <w:shd w:fill="F6F8FA"/>
          </w:tcPr>
          <w:p>
            <w:pPr>
              <w:spacing w:after="20" w:line="259" w:lineRule="auto"/>
              <w:jc w:val="left"/>
            </w:pPr>
            <w:r>
              <w:rPr>
                <w:sz w:val="18"/>
              </w:rPr>
              <w:t>Benchmark Results Summary.docx</w:t>
            </w:r>
          </w:p>
        </w:tc>
        <w:tc>
          <w:tcPr>
            <w:tcW w:type="dxa" w:w="6480"/>
            <w:vAlign w:val="center"/>
            <w:tcMar>
              <w:top w:w="70" w:type="dxa"/>
              <w:start w:w="90" w:type="dxa"/>
              <w:bottom w:w="70" w:type="dxa"/>
              <w:end w:w="90" w:type="dxa"/>
            </w:tcMar>
          </w:tcPr>
          <w:p>
            <w:pPr>
              <w:spacing w:after="20" w:line="259" w:lineRule="auto"/>
              <w:jc w:val="left"/>
            </w:pPr>
            <w:r>
              <w:rPr>
                <w:sz w:val="18"/>
              </w:rPr>
              <w:t>Current benchmark results and benchmark-facing empirical claim.</w:t>
            </w:r>
          </w:p>
        </w:tc>
      </w:tr>
      <w:tr>
        <w:trPr>
          <w:cantSplit/>
        </w:trPr>
        <w:tc>
          <w:tcPr>
            <w:tcW w:type="dxa" w:w="3024"/>
            <w:vAlign w:val="center"/>
            <w:tcMar>
              <w:top w:w="70" w:type="dxa"/>
              <w:start w:w="90" w:type="dxa"/>
              <w:bottom w:w="70" w:type="dxa"/>
              <w:end w:w="90" w:type="dxa"/>
            </w:tcMar>
            <w:shd w:fill="F6F8FA"/>
          </w:tcPr>
          <w:p>
            <w:pPr>
              <w:spacing w:after="20" w:line="259" w:lineRule="auto"/>
              <w:jc w:val="left"/>
            </w:pPr>
            <w:r>
              <w:rPr>
                <w:sz w:val="18"/>
              </w:rPr>
              <w:t>Limitations.docx</w:t>
            </w:r>
          </w:p>
        </w:tc>
        <w:tc>
          <w:tcPr>
            <w:tcW w:type="dxa" w:w="6480"/>
            <w:vAlign w:val="center"/>
            <w:tcMar>
              <w:top w:w="70" w:type="dxa"/>
              <w:start w:w="90" w:type="dxa"/>
              <w:bottom w:w="70" w:type="dxa"/>
              <w:end w:w="90" w:type="dxa"/>
            </w:tcMar>
          </w:tcPr>
          <w:p>
            <w:pPr>
              <w:spacing w:after="20" w:line="259" w:lineRule="auto"/>
              <w:jc w:val="left"/>
            </w:pPr>
            <w:r>
              <w:rPr>
                <w:sz w:val="18"/>
              </w:rPr>
              <w:t>States what the benchmark does and does not support.</w:t>
            </w:r>
          </w:p>
        </w:tc>
      </w:tr>
      <w:tr>
        <w:trPr>
          <w:cantSplit/>
        </w:trPr>
        <w:tc>
          <w:tcPr>
            <w:tcW w:type="dxa" w:w="3024"/>
            <w:vAlign w:val="center"/>
            <w:tcMar>
              <w:top w:w="70" w:type="dxa"/>
              <w:start w:w="90" w:type="dxa"/>
              <w:bottom w:w="70" w:type="dxa"/>
              <w:end w:w="90" w:type="dxa"/>
            </w:tcMar>
            <w:shd w:fill="F6F8FA"/>
          </w:tcPr>
          <w:p>
            <w:pPr>
              <w:spacing w:after="20" w:line="259" w:lineRule="auto"/>
              <w:jc w:val="left"/>
            </w:pPr>
            <w:r>
              <w:rPr>
                <w:sz w:val="18"/>
              </w:rPr>
              <w:t>Replay trace schema documents</w:t>
            </w:r>
          </w:p>
        </w:tc>
        <w:tc>
          <w:tcPr>
            <w:tcW w:type="dxa" w:w="6480"/>
            <w:vAlign w:val="center"/>
            <w:tcMar>
              <w:top w:w="70" w:type="dxa"/>
              <w:start w:w="90" w:type="dxa"/>
              <w:bottom w:w="70" w:type="dxa"/>
              <w:end w:w="90" w:type="dxa"/>
            </w:tcMar>
          </w:tcPr>
          <w:p>
            <w:pPr>
              <w:spacing w:after="20" w:line="259" w:lineRule="auto"/>
              <w:jc w:val="left"/>
            </w:pPr>
            <w:r>
              <w:rPr>
                <w:sz w:val="18"/>
              </w:rPr>
              <w:t>Define the replay data contract.</w:t>
            </w:r>
          </w:p>
        </w:tc>
      </w:tr>
      <w:tr>
        <w:trPr>
          <w:cantSplit/>
        </w:trPr>
        <w:tc>
          <w:tcPr>
            <w:tcW w:type="dxa" w:w="3024"/>
            <w:vAlign w:val="center"/>
            <w:tcMar>
              <w:top w:w="70" w:type="dxa"/>
              <w:start w:w="90" w:type="dxa"/>
              <w:bottom w:w="70" w:type="dxa"/>
              <w:end w:w="90" w:type="dxa"/>
            </w:tcMar>
            <w:shd w:fill="F6F8FA"/>
          </w:tcPr>
          <w:p>
            <w:pPr>
              <w:spacing w:after="20" w:line="259" w:lineRule="auto"/>
              <w:jc w:val="left"/>
            </w:pPr>
            <w:r>
              <w:rPr>
                <w:sz w:val="18"/>
              </w:rPr>
              <w:t>Implementation-plan documents</w:t>
            </w:r>
          </w:p>
        </w:tc>
        <w:tc>
          <w:tcPr>
            <w:tcW w:type="dxa" w:w="6480"/>
            <w:vAlign w:val="center"/>
            <w:tcMar>
              <w:top w:w="70" w:type="dxa"/>
              <w:start w:w="90" w:type="dxa"/>
              <w:bottom w:w="70" w:type="dxa"/>
              <w:end w:w="90" w:type="dxa"/>
            </w:tcMar>
          </w:tcPr>
          <w:p>
            <w:pPr>
              <w:spacing w:after="20" w:line="259" w:lineRule="auto"/>
              <w:jc w:val="left"/>
            </w:pPr>
            <w:r>
              <w:rPr>
                <w:sz w:val="18"/>
              </w:rPr>
              <w:t>Define build sequencing and code-facing guidance.</w:t>
            </w:r>
          </w:p>
        </w:tc>
      </w:tr>
    </w:tbl>
    <w:p/>
    <w:p>
      <w:r>
        <w:t>This specification is not the full PV–PP framework and is not intended to function as the primary theoretical document. It is the stable simulation-facing specification for the benchmark component of the repository.</w:t>
      </w:r>
    </w:p>
    <w:p>
      <w:pPr>
        <w:pStyle w:val="Heading1"/>
      </w:pPr>
      <w:r>
        <w:t>Repository Reading and Stability Notes</w:t>
      </w:r>
    </w:p>
    <w:p>
      <w:pPr>
        <w:pStyle w:val="ListNumber"/>
        <w:spacing w:after="40"/>
        <w:ind w:left="259"/>
      </w:pPr>
      <w:r>
        <w:rPr>
          <w:sz w:val="20"/>
        </w:rPr>
        <w:t>The specification defines benchmark structure, comparator discipline, classes, and reporting expectations.</w:t>
      </w:r>
    </w:p>
    <w:p>
      <w:pPr>
        <w:pStyle w:val="ListNumber"/>
        <w:spacing w:after="40"/>
        <w:ind w:left="259"/>
      </w:pPr>
      <w:r>
        <w:rPr>
          <w:sz w:val="20"/>
        </w:rPr>
        <w:t>The benchmark results document carries measured outcome claims and may be updated without forcing a specification rewrite.</w:t>
      </w:r>
    </w:p>
    <w:p>
      <w:pPr>
        <w:pStyle w:val="ListNumber"/>
        <w:spacing w:after="40"/>
        <w:ind w:left="259"/>
      </w:pPr>
      <w:r>
        <w:rPr>
          <w:sz w:val="20"/>
        </w:rPr>
        <w:t>The limitations document carries non-claims, interpretive bounds, and unresolved benchmark limits.</w:t>
      </w:r>
    </w:p>
    <w:p>
      <w:pPr>
        <w:pStyle w:val="ListNumber"/>
        <w:spacing w:after="40"/>
        <w:ind w:left="259"/>
      </w:pPr>
      <w:r>
        <w:rPr>
          <w:sz w:val="20"/>
        </w:rPr>
        <w:t>If implementation behavior changes materially, this specification should be revised before new results are presented as repository-stable.</w:t>
      </w:r>
    </w:p>
    <w:p>
      <w:pPr>
        <w:pStyle w:val="Heading1"/>
      </w:pPr>
      <w:r>
        <w:t>Bottom-Line Specification Statement</w:t>
      </w:r>
    </w:p>
    <w:p>
      <w:r>
        <w:t>This benchmark specifies a controlled 12×12 extraction environment with matched world dynamics and a deliberately narrow comparator discipline. Its purpose is to test whether PV–PP and a self-preserving scalar baseline coincide in low-pressure cases and diverge only in narrow governing-critical grenade states where direct center-square sacrificial protection becomes decision-relevant.</w:t>
      </w:r>
    </w:p>
    <w:p>
      <w:r>
        <w:t>Any stronger empirical claim belongs in the results summary, not in the specification itself.</w:t>
      </w:r>
    </w:p>
    <w:sectPr w:rsidR="00FC693F" w:rsidRPr="0006063C" w:rsidSect="00034616">
      <w:headerReference w:type="default" r:id="rId9"/>
      <w:footerReference w:type="default" r:id="rId10"/>
      <w:pgSz w:w="12240" w:h="15840"/>
      <w:pgMar w:top="1037"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Grenade Benchmark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