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after="40" w:line="276" w:lineRule="auto"/>
        <w:jc w:val="center"/>
      </w:pPr>
      <w:r>
        <w:rPr>
          <w:b/>
        </w:rPr>
        <w:t>PV–PP Framework — Benchmark Limitations Summary</w:t>
      </w:r>
    </w:p>
    <w:p>
      <w:pPr>
        <w:spacing w:before="0" w:after="100" w:line="276" w:lineRule="auto"/>
        <w:jc w:val="center"/>
      </w:pPr>
      <w:r>
        <w:rPr>
          <w:rFonts w:ascii="Aptos" w:hAnsi="Aptos"/>
          <w:i/>
          <w:color w:val="5A5A5A"/>
          <w:sz w:val="22"/>
        </w:rPr>
        <w:t>Grenade Self-Sacrifice Benchmark</w:t>
      </w:r>
    </w:p>
    <w:tbl>
      <w:tblPr>
        <w:tblW w:type="auto" w:w="0"/>
        <w:jc w:val="center"/>
        <w:tblLayout w:type="fixed"/>
        <w:tblLook w:firstColumn="1" w:firstRow="1" w:lastColumn="0" w:lastRow="0" w:noHBand="0" w:noVBand="1" w:val="04A0"/>
      </w:tblPr>
      <w:tblGrid>
        <w:gridCol w:w="3264"/>
        <w:gridCol w:w="3264"/>
        <w:gridCol w:w="3264"/>
      </w:tblGrid>
      <w:tr>
        <w:tc>
          <w:tcPr>
            <w:tcW w:type="dxa" w:w="3168"/>
            <w:shd w:fill="D9E2F3"/>
            <w:tcMar>
              <w:top w:w="80" w:type="dxa"/>
              <w:start w:w="100" w:type="dxa"/>
              <w:bottom w:w="80" w:type="dxa"/>
              <w:end w:w="100" w:type="dxa"/>
            </w:tcMar>
            <w:vAlign w:val="center"/>
          </w:tcPr>
          <w:p>
            <w:pPr>
              <w:jc w:val="center"/>
            </w:pPr>
            <w:r>
              <w:rPr>
                <w:b/>
                <w:sz w:val="19"/>
              </w:rPr>
              <w:t>Document Role</w:t>
            </w:r>
          </w:p>
        </w:tc>
        <w:tc>
          <w:tcPr>
            <w:tcW w:type="dxa" w:w="3168"/>
            <w:shd w:fill="D9E2F3"/>
            <w:tcMar>
              <w:top w:w="80" w:type="dxa"/>
              <w:start w:w="100" w:type="dxa"/>
              <w:bottom w:w="80" w:type="dxa"/>
              <w:end w:w="100" w:type="dxa"/>
            </w:tcMar>
            <w:vAlign w:val="center"/>
          </w:tcPr>
          <w:p>
            <w:pPr>
              <w:jc w:val="center"/>
            </w:pPr>
            <w:r>
              <w:rPr>
                <w:b/>
                <w:sz w:val="19"/>
              </w:rPr>
              <w:t>Repository Function</w:t>
            </w:r>
          </w:p>
        </w:tc>
        <w:tc>
          <w:tcPr>
            <w:tcW w:type="dxa" w:w="3168"/>
            <w:shd w:fill="D9E2F3"/>
            <w:tcMar>
              <w:top w:w="80" w:type="dxa"/>
              <w:start w:w="100" w:type="dxa"/>
              <w:bottom w:w="80" w:type="dxa"/>
              <w:end w:w="100" w:type="dxa"/>
            </w:tcMar>
            <w:vAlign w:val="center"/>
          </w:tcPr>
          <w:p>
            <w:pPr>
              <w:jc w:val="center"/>
            </w:pPr>
            <w:r>
              <w:rPr>
                <w:b/>
                <w:sz w:val="19"/>
              </w:rPr>
              <w:t>Reading Rule</w:t>
            </w:r>
          </w:p>
        </w:tc>
      </w:tr>
      <w:tr>
        <w:tc>
          <w:tcPr>
            <w:tcW w:type="dxa" w:w="3168"/>
            <w:tcMar>
              <w:top w:w="80" w:type="dxa"/>
              <w:start w:w="100" w:type="dxa"/>
              <w:bottom w:w="80" w:type="dxa"/>
              <w:end w:w="100" w:type="dxa"/>
            </w:tcMar>
            <w:vAlign w:val="center"/>
          </w:tcPr>
          <w:p>
            <w:pPr>
              <w:jc w:val="center"/>
            </w:pPr>
            <w:r>
              <w:rPr>
                <w:sz w:val="18"/>
              </w:rPr>
              <w:t>Repository-facing limitations document</w:t>
            </w:r>
          </w:p>
        </w:tc>
        <w:tc>
          <w:tcPr>
            <w:tcW w:type="dxa" w:w="3168"/>
            <w:tcMar>
              <w:top w:w="80" w:type="dxa"/>
              <w:start w:w="100" w:type="dxa"/>
              <w:bottom w:w="80" w:type="dxa"/>
              <w:end w:w="100" w:type="dxa"/>
            </w:tcMar>
            <w:vAlign w:val="center"/>
          </w:tcPr>
          <w:p>
            <w:pPr>
              <w:jc w:val="center"/>
            </w:pPr>
            <w:r>
              <w:rPr>
                <w:sz w:val="18"/>
              </w:rPr>
              <w:t>Sets scope boundaries and prevents overclaim</w:t>
            </w:r>
          </w:p>
        </w:tc>
        <w:tc>
          <w:tcPr>
            <w:tcW w:type="dxa" w:w="3168"/>
            <w:tcMar>
              <w:top w:w="80" w:type="dxa"/>
              <w:start w:w="100" w:type="dxa"/>
              <w:bottom w:w="80" w:type="dxa"/>
              <w:end w:w="100" w:type="dxa"/>
            </w:tcMar>
            <w:vAlign w:val="center"/>
          </w:tcPr>
          <w:p>
            <w:pPr>
              <w:jc w:val="center"/>
            </w:pPr>
            <w:r>
              <w:rPr>
                <w:sz w:val="18"/>
              </w:rPr>
              <w:t>Read with the benchmark specification and benchmark results summary</w:t>
            </w:r>
          </w:p>
        </w:tc>
      </w:tr>
    </w:tbl>
    <w:p>
      <w:pPr>
        <w:spacing w:before="0" w:after="100" w:line="276" w:lineRule="auto"/>
      </w:pPr>
    </w:p>
    <w:p>
      <w:pPr>
        <w:pStyle w:val="Heading1"/>
        <w:spacing w:before="160" w:after="60" w:line="276" w:lineRule="auto"/>
      </w:pPr>
      <w:r>
        <w:t>Purpose</w:t>
      </w:r>
    </w:p>
    <w:p>
      <w:pPr>
        <w:spacing w:before="0" w:after="100" w:line="276" w:lineRule="auto"/>
      </w:pPr>
      <w:r>
        <w:t>This document states the main limitations of the PV–PP grenade self-sacrifice benchmark. Its job is narrower than advocacy and narrower than framework theory. It marks what the benchmark actually supports, what it only suggests, and what it does not establish at all. The point is to prevent inflation of a scenario-specific benchmark into a general proof.</w:t>
      </w:r>
    </w:p>
    <w:p>
      <w:pPr>
        <w:pStyle w:val="Heading1"/>
        <w:spacing w:before="160" w:after="60" w:line="276" w:lineRule="auto"/>
      </w:pPr>
      <w:r>
        <w:t>Executive Limitation Summary</w:t>
      </w:r>
    </w:p>
    <w:tbl>
      <w:tblPr>
        <w:tblW w:type="auto" w:w="0"/>
        <w:jc w:val="center"/>
        <w:tblLayout w:type="fixed"/>
        <w:tblLook w:firstColumn="1" w:firstRow="1" w:lastColumn="0" w:lastRow="0" w:noHBand="0" w:noVBand="1" w:val="04A0"/>
      </w:tblPr>
      <w:tblGrid>
        <w:gridCol w:w="4896"/>
        <w:gridCol w:w="4896"/>
      </w:tblGrid>
      <w:tr>
        <w:tc>
          <w:tcPr>
            <w:tcW w:type="dxa" w:w="2880"/>
            <w:shd w:fill="D9E2F3"/>
            <w:tcMar>
              <w:top w:w="80" w:type="dxa"/>
              <w:start w:w="100" w:type="dxa"/>
              <w:bottom w:w="80" w:type="dxa"/>
              <w:end w:w="100" w:type="dxa"/>
            </w:tcMar>
          </w:tcPr>
          <w:p>
            <w:pPr>
              <w:jc w:val="center"/>
            </w:pPr>
            <w:r>
              <w:rPr>
                <w:b/>
                <w:sz w:val="19"/>
              </w:rPr>
              <w:t>Limitation</w:t>
            </w:r>
          </w:p>
        </w:tc>
        <w:tc>
          <w:tcPr>
            <w:tcW w:type="dxa" w:w="6552"/>
            <w:shd w:fill="D9E2F3"/>
            <w:tcMar>
              <w:top w:w="80" w:type="dxa"/>
              <w:start w:w="100" w:type="dxa"/>
              <w:bottom w:w="80" w:type="dxa"/>
              <w:end w:w="100" w:type="dxa"/>
            </w:tcMar>
          </w:tcPr>
          <w:p>
            <w:pPr>
              <w:jc w:val="center"/>
            </w:pPr>
            <w:r>
              <w:rPr>
                <w:b/>
                <w:sz w:val="19"/>
              </w:rPr>
              <w:t>Bottom-line reading</w:t>
            </w:r>
          </w:p>
        </w:tc>
      </w:tr>
      <w:tr>
        <w:tc>
          <w:tcPr>
            <w:tcW w:type="dxa" w:w="4896"/>
            <w:tcMar>
              <w:top w:w="80" w:type="dxa"/>
              <w:start w:w="100" w:type="dxa"/>
              <w:bottom w:w="80" w:type="dxa"/>
              <w:end w:w="100" w:type="dxa"/>
            </w:tcMar>
            <w:vAlign w:val="center"/>
          </w:tcPr>
          <w:p>
            <w:r>
              <w:rPr>
                <w:b/>
              </w:rPr>
              <w:t>Architecture scope</w:t>
            </w:r>
          </w:p>
        </w:tc>
        <w:tc>
          <w:tcPr>
            <w:tcW w:type="dxa" w:w="4896"/>
            <w:tcMar>
              <w:top w:w="80" w:type="dxa"/>
              <w:start w:w="100" w:type="dxa"/>
              <w:bottom w:w="80" w:type="dxa"/>
              <w:end w:w="100" w:type="dxa"/>
            </w:tcMar>
            <w:vAlign w:val="center"/>
          </w:tcPr>
          <w:p>
            <w:r>
              <w:t>This is a narrow discrimination benchmark, not a universal test of decision architectures.</w:t>
            </w:r>
          </w:p>
        </w:tc>
      </w:tr>
      <w:tr>
        <w:tc>
          <w:tcPr>
            <w:tcW w:type="dxa" w:w="4896"/>
            <w:tcMar>
              <w:top w:w="80" w:type="dxa"/>
              <w:start w:w="100" w:type="dxa"/>
              <w:bottom w:w="80" w:type="dxa"/>
              <w:end w:w="100" w:type="dxa"/>
            </w:tcMar>
            <w:vAlign w:val="center"/>
          </w:tcPr>
          <w:p>
            <w:r>
              <w:rPr>
                <w:b/>
              </w:rPr>
              <w:t>Comparator scope</w:t>
            </w:r>
          </w:p>
        </w:tc>
        <w:tc>
          <w:tcPr>
            <w:tcW w:type="dxa" w:w="4896"/>
            <w:tcMar>
              <w:top w:w="80" w:type="dxa"/>
              <w:start w:w="100" w:type="dxa"/>
              <w:bottom w:w="80" w:type="dxa"/>
              <w:end w:w="100" w:type="dxa"/>
            </w:tcMar>
            <w:vAlign w:val="center"/>
          </w:tcPr>
          <w:p>
            <w:r>
              <w:t>The comparison is against a self-preserving scalar baseline, not against the full class of scalar formulations.</w:t>
            </w:r>
          </w:p>
        </w:tc>
      </w:tr>
      <w:tr>
        <w:tc>
          <w:tcPr>
            <w:tcW w:type="dxa" w:w="4896"/>
            <w:tcMar>
              <w:top w:w="80" w:type="dxa"/>
              <w:start w:w="100" w:type="dxa"/>
              <w:bottom w:w="80" w:type="dxa"/>
              <w:end w:w="100" w:type="dxa"/>
            </w:tcMar>
            <w:vAlign w:val="center"/>
          </w:tcPr>
          <w:p>
            <w:r>
              <w:rPr>
                <w:b/>
              </w:rPr>
              <w:t>Empirical concentration</w:t>
            </w:r>
          </w:p>
        </w:tc>
        <w:tc>
          <w:tcPr>
            <w:tcW w:type="dxa" w:w="4896"/>
            <w:tcMar>
              <w:top w:w="80" w:type="dxa"/>
              <w:start w:w="100" w:type="dxa"/>
              <w:bottom w:w="80" w:type="dxa"/>
              <w:end w:w="100" w:type="dxa"/>
            </w:tcMar>
            <w:vAlign w:val="center"/>
          </w:tcPr>
          <w:p>
            <w:r>
              <w:t>The strongest evidence sits in the moderate and difficult workloads, not everywhere equally.</w:t>
            </w:r>
          </w:p>
        </w:tc>
      </w:tr>
      <w:tr>
        <w:tc>
          <w:tcPr>
            <w:tcW w:type="dxa" w:w="4896"/>
            <w:tcMar>
              <w:top w:w="80" w:type="dxa"/>
              <w:start w:w="100" w:type="dxa"/>
              <w:bottom w:w="80" w:type="dxa"/>
              <w:end w:w="100" w:type="dxa"/>
            </w:tcMar>
            <w:vAlign w:val="center"/>
          </w:tcPr>
          <w:p>
            <w:r>
              <w:rPr>
                <w:b/>
              </w:rPr>
              <w:t>Mechanism isolation</w:t>
            </w:r>
          </w:p>
        </w:tc>
        <w:tc>
          <w:tcPr>
            <w:tcW w:type="dxa" w:w="4896"/>
            <w:tcMar>
              <w:top w:w="80" w:type="dxa"/>
              <w:start w:w="100" w:type="dxa"/>
              <w:bottom w:w="80" w:type="dxa"/>
              <w:end w:w="100" w:type="dxa"/>
            </w:tcMar>
            <w:vAlign w:val="center"/>
          </w:tcPr>
          <w:p>
            <w:r>
              <w:t>Center-square sacrificial smothering is the main mechanism, but not every difference is cleanly one-factor isolated.</w:t>
            </w:r>
          </w:p>
        </w:tc>
      </w:tr>
      <w:tr>
        <w:tc>
          <w:tcPr>
            <w:tcW w:type="dxa" w:w="4896"/>
            <w:tcMar>
              <w:top w:w="80" w:type="dxa"/>
              <w:start w:w="100" w:type="dxa"/>
              <w:bottom w:w="80" w:type="dxa"/>
              <w:end w:w="100" w:type="dxa"/>
            </w:tcMar>
            <w:vAlign w:val="center"/>
          </w:tcPr>
          <w:p>
            <w:r>
              <w:rPr>
                <w:b/>
              </w:rPr>
              <w:t>Simulation realism</w:t>
            </w:r>
          </w:p>
        </w:tc>
        <w:tc>
          <w:tcPr>
            <w:tcW w:type="dxa" w:w="4896"/>
            <w:tcMar>
              <w:top w:w="80" w:type="dxa"/>
              <w:start w:w="100" w:type="dxa"/>
              <w:bottom w:w="80" w:type="dxa"/>
              <w:end w:w="100" w:type="dxa"/>
            </w:tcMar>
            <w:vAlign w:val="center"/>
          </w:tcPr>
          <w:p>
            <w:r>
              <w:t>The environment is intentionally abstracted and should not be sold as realistic combat simulation.</w:t>
            </w:r>
          </w:p>
        </w:tc>
      </w:tr>
      <w:tr>
        <w:tc>
          <w:tcPr>
            <w:tcW w:type="dxa" w:w="4896"/>
            <w:tcMar>
              <w:top w:w="80" w:type="dxa"/>
              <w:start w:w="100" w:type="dxa"/>
              <w:bottom w:w="80" w:type="dxa"/>
              <w:end w:w="100" w:type="dxa"/>
            </w:tcMar>
            <w:vAlign w:val="center"/>
          </w:tcPr>
          <w:p>
            <w:r>
              <w:rPr>
                <w:b/>
              </w:rPr>
              <w:t>Statistical packaging</w:t>
            </w:r>
          </w:p>
        </w:tc>
        <w:tc>
          <w:tcPr>
            <w:tcW w:type="dxa" w:w="4896"/>
            <w:tcMar>
              <w:top w:w="80" w:type="dxa"/>
              <w:start w:w="100" w:type="dxa"/>
              <w:bottom w:w="80" w:type="dxa"/>
              <w:end w:w="100" w:type="dxa"/>
            </w:tcMar>
            <w:vAlign w:val="center"/>
          </w:tcPr>
          <w:p>
            <w:r>
              <w:t>The current run basis is much stronger than earlier drafts, but the duplicated seed between improbable and mixed should be disclosed plainly.</w:t>
            </w:r>
          </w:p>
        </w:tc>
      </w:tr>
      <w:tr>
        <w:tc>
          <w:tcPr>
            <w:tcW w:type="dxa" w:w="4896"/>
            <w:tcMar>
              <w:top w:w="80" w:type="dxa"/>
              <w:start w:w="100" w:type="dxa"/>
              <w:bottom w:w="80" w:type="dxa"/>
              <w:end w:w="100" w:type="dxa"/>
            </w:tcMar>
            <w:vAlign w:val="center"/>
          </w:tcPr>
          <w:p>
            <w:r>
              <w:rPr>
                <w:b/>
              </w:rPr>
              <w:t>Repository scope</w:t>
            </w:r>
          </w:p>
        </w:tc>
        <w:tc>
          <w:tcPr>
            <w:tcW w:type="dxa" w:w="4896"/>
            <w:tcMar>
              <w:top w:w="80" w:type="dxa"/>
              <w:start w:w="100" w:type="dxa"/>
              <w:bottom w:w="80" w:type="dxa"/>
              <w:end w:w="100" w:type="dxa"/>
            </w:tcMar>
            <w:vAlign w:val="center"/>
          </w:tcPr>
          <w:p>
            <w:r>
              <w:t>The repository contains a substantial working set, not a final or complete archive of the entire PV–PP program.</w:t>
            </w:r>
          </w:p>
        </w:tc>
      </w:tr>
    </w:tbl>
    <w:p>
      <w:pPr>
        <w:pStyle w:val="Heading1"/>
        <w:spacing w:before="160" w:after="60" w:line="276" w:lineRule="auto"/>
      </w:pPr>
      <w:r>
        <w:t>Core Limitation</w:t>
      </w:r>
    </w:p>
    <w:p>
      <w:pPr>
        <w:spacing w:before="0" w:after="100" w:line="276" w:lineRule="auto"/>
      </w:pPr>
      <w:r>
        <w:t>This benchmark is a narrow architectural discrimination benchmark. It tests whether a non-scalar PV–PP implementation and a self-preserving scalar comparator coincide in easier cases and diverge in a specific class of grenade-bearing rescue cases where direct center-square sacrificial protection becomes decision-relevant. That is useful evidence. It is not a general proof about altruism, sacrifice, or the full space of decision architectures.</w:t>
      </w:r>
    </w:p>
    <w:p>
      <w:pPr>
        <w:pStyle w:val="Heading1"/>
        <w:spacing w:before="160" w:after="60" w:line="276" w:lineRule="auto"/>
      </w:pPr>
      <w:r>
        <w:t>Comparator Limitation</w:t>
      </w:r>
    </w:p>
    <w:p>
      <w:pPr>
        <w:spacing w:before="0" w:after="100" w:line="276" w:lineRule="auto"/>
      </w:pPr>
      <w:r>
        <w:t>The benchmark compares PV–PP against a self-preserving scalar baseline. That is a deliberate comparator, but it is also a hard boundary on the claim. The benchmark does not compare PV–PP against scalar models with sacrificial utility weighting, lexicographic scalar models, team-utility scalar models, or tuned rescue-favoring scalar baselines. A scalar model can be written to prefer sacrifice. So the supported claim is narrower: PV–PP generates the observed rescue-and-sacrifice pattern without scalar aggregation as the governing rule, and it outperforms this particular comparator in the harder benchmark cases.</w:t>
      </w:r>
    </w:p>
    <w:p>
      <w:pPr>
        <w:pStyle w:val="Heading1"/>
        <w:spacing w:before="160" w:after="60" w:line="276" w:lineRule="auto"/>
      </w:pPr>
      <w:r>
        <w:t>Mechanism-Isolation Limitation</w:t>
      </w:r>
    </w:p>
    <w:p>
      <w:pPr>
        <w:spacing w:before="0" w:after="100" w:line="276" w:lineRule="auto"/>
      </w:pPr>
      <w:r>
        <w:t>The benchmark is organized around one main structural difference: PV–PP may admit direct center-square sacrificial smothering, while the scalar self-preserving baseline does not. That is the principal discrimination point, but the benchmark does not prove perfect one-factor isolation. Implementation-level interactions can still matter at the margin, including route timing, exposure timing, burden interactions, extraction-lane congestion, and local regrouping behavior. The right reading is mechanism-centered, not mechanism-exclusive.</w:t>
      </w:r>
    </w:p>
    <w:p>
      <w:pPr>
        <w:pStyle w:val="Heading1"/>
        <w:spacing w:before="160" w:after="60" w:line="276" w:lineRule="auto"/>
      </w:pPr>
      <w:r>
        <w:t>Benchmark-Specificity Limitation</w:t>
      </w:r>
    </w:p>
    <w:p>
      <w:pPr>
        <w:spacing w:before="0" w:after="100" w:line="276" w:lineRule="auto"/>
      </w:pPr>
      <w:r>
        <w:t>This is one scenario family. It uses a 12×12 extraction environment, a five-soldier squad, one recoveree structure, one extraction geometry, one background-fire model, one grenade-event model, and one burden / withdrawal system. That does not automatically generalize to all battlefield environments, all rescue structures, all sacrifice scenarios, or all multi-agent non-scalar decision problems. It is evidence from one disciplined scenario family.</w:t>
      </w:r>
    </w:p>
    <w:p>
      <w:pPr>
        <w:pStyle w:val="Heading1"/>
        <w:spacing w:before="160" w:after="60" w:line="276" w:lineRule="auto"/>
      </w:pPr>
      <w:r>
        <w:t>Simulation-Abstraction Limitation</w:t>
      </w:r>
    </w:p>
    <w:p>
      <w:pPr>
        <w:spacing w:before="0" w:after="100" w:line="276" w:lineRule="auto"/>
      </w:pPr>
      <w:r>
        <w:t>The benchmark is highly abstracted by design. It excludes or simplifies explicit enemy agents, morale, communication lag, command hierarchy, richer medical dynamics, panic or hesitation, dead-body obstruction, suppressive-fire tactics, richer terrain than the current grid abstraction, and fuller doctrine variation. That simplification is useful for structural discrimination, but it also means the benchmark should not be described as a realistic combat simulator.</w:t>
      </w:r>
    </w:p>
    <w:p>
      <w:pPr>
        <w:pStyle w:val="Heading1"/>
        <w:spacing w:before="160" w:after="60" w:line="276" w:lineRule="auto"/>
      </w:pPr>
      <w:r>
        <w:t>Domain-Structure Limitation</w:t>
      </w:r>
    </w:p>
    <w:p>
      <w:pPr>
        <w:spacing w:before="0" w:after="100" w:line="276" w:lineRule="auto"/>
      </w:pPr>
      <w:r>
        <w:t>The state representation is engineered and narrow. The benchmark tracks Integrity, Mobility, Exposure, Squad Viability, Mission Continuity, and Cohesion. That is enough to express the benchmark logic, but it does not show that every relevant real-world preservation structure has been modeled, nor that this discretization is uniquely correct.</w:t>
      </w:r>
    </w:p>
    <w:p>
      <w:pPr>
        <w:pStyle w:val="Heading1"/>
        <w:spacing w:before="160" w:after="60" w:line="276" w:lineRule="auto"/>
      </w:pPr>
      <w:r>
        <w:t>Governing-Structure Limitation</w:t>
      </w:r>
    </w:p>
    <w:p>
      <w:pPr>
        <w:spacing w:before="0" w:after="100" w:line="276" w:lineRule="auto"/>
      </w:pPr>
      <w:r>
        <w:t>The benchmark relies on a specific governing interpretation. In compressed grenade cases, Squad Viability, often jointly with Mission Continuity, is treated as the governing-critical structure. That reading is coherent inside this scenario family, but the benchmark alone does not prove that the same governing assignment is correct in every neighboring scenario or real-world analogue.</w:t>
      </w:r>
    </w:p>
    <w:p>
      <w:pPr>
        <w:pStyle w:val="Heading1"/>
        <w:spacing w:before="160" w:after="60" w:line="276" w:lineRule="auto"/>
      </w:pPr>
      <w:r>
        <w:t>Results-Interpretation Limitation</w:t>
      </w:r>
    </w:p>
    <w:p>
      <w:pPr>
        <w:spacing w:before="0" w:after="100" w:line="276" w:lineRule="auto"/>
      </w:pPr>
      <w:r>
        <w:t>The empirical signal is not evenly distributed. The strongest evidence is in the moderate and difficult workloads. The easy workload is mainly a control and convergence case. The improbable workload still matters, but the advantage is smaller and the environment is already near broad collapse. The mixed workload is useful as a robustness check, but it is structurally less interpretable than the ordered ladder.</w:t>
      </w:r>
    </w:p>
    <w:p>
      <w:pPr>
        <w:pStyle w:val="Heading1"/>
        <w:spacing w:before="160" w:after="60" w:line="276" w:lineRule="auto"/>
      </w:pPr>
      <w:r>
        <w:t>Statistical-Basis Limitation</w:t>
      </w:r>
    </w:p>
    <w:p>
      <w:pPr>
        <w:spacing w:before="0" w:after="100" w:line="276" w:lineRule="auto"/>
      </w:pPr>
      <w:r>
        <w:t>The current 10,000-run batches are materially stronger than earlier small-run drafts, but the statistical packaging is not perfect. The current run basis reuses the same seed value for extraction_improbable and mixed. That does not erase the result pattern, but it does mean the package should not be described as fully diversified across scenario batches. The limitation is minor compared with earlier instability, but it is real and should be stated directly.</w:t>
      </w:r>
    </w:p>
    <w:p>
      <w:pPr>
        <w:pStyle w:val="Heading1"/>
        <w:spacing w:before="160" w:after="60" w:line="276" w:lineRule="auto"/>
      </w:pPr>
      <w:r>
        <w:t>Casualty-Tradeoff Limitation</w:t>
      </w:r>
    </w:p>
    <w:p>
      <w:pPr>
        <w:spacing w:before="0" w:after="100" w:line="276" w:lineRule="auto"/>
      </w:pPr>
      <w:r>
        <w:t>PV–PP does not cleanly dominate on every metric. In the workloads where divergence appears, PV–PP generally improves recoveree extraction while accepting slightly higher average total casualties. That does not break the benchmark; it defines it more honestly. The supported claim is mission-success advantage under sacrificially relevant pressure, not universal superiority on all welfare or casualty measures.</w:t>
      </w:r>
    </w:p>
    <w:p>
      <w:pPr>
        <w:pStyle w:val="Heading1"/>
        <w:spacing w:before="160" w:after="60" w:line="276" w:lineRule="auto"/>
      </w:pPr>
      <w:r>
        <w:t>Publication-Claim Limitation</w:t>
      </w:r>
    </w:p>
    <w:p>
      <w:pPr>
        <w:spacing w:before="0" w:after="100" w:line="276" w:lineRule="auto"/>
      </w:pPr>
      <w:r>
        <w:t>This benchmark can support a narrow publication-facing claim. It cannot support broad claims such as: scalar aggregation is unnecessary in all morally serious decision problems; PV–PP has been fully validated; the full framework is proven by this benchmark; self-sacrifice is generally non-scalar; or PV–PP universally dominates scalar models. Those claims go beyond the evidence.</w:t>
      </w:r>
    </w:p>
    <w:p>
      <w:pPr>
        <w:pStyle w:val="Heading1"/>
        <w:spacing w:before="160" w:after="60" w:line="276" w:lineRule="auto"/>
      </w:pPr>
      <w:r>
        <w:t>Theorem-Closure Limitation</w:t>
      </w:r>
    </w:p>
    <w:p>
      <w:pPr>
        <w:spacing w:before="0" w:after="100" w:line="276" w:lineRule="auto"/>
      </w:pPr>
      <w:r>
        <w:t>This repository and benchmark are not theorem closure. They do not establish that PV–PP reduces to scalar aggregation in every scalar-valid environment, and they do not establish the converse. That belongs to a different workstream and should not be smuggled into interpretation of this benchmark.</w:t>
      </w:r>
    </w:p>
    <w:p>
      <w:pPr>
        <w:pStyle w:val="Heading1"/>
        <w:spacing w:before="160" w:after="60" w:line="276" w:lineRule="auto"/>
      </w:pPr>
      <w:r>
        <w:t>Trace and Audit Limitation</w:t>
      </w:r>
    </w:p>
    <w:p>
      <w:pPr>
        <w:spacing w:before="0" w:after="100" w:line="276" w:lineRule="auto"/>
      </w:pPr>
      <w:r>
        <w:t>Replay traces and audit tools are useful, but they are not self-authenticating. Audit passes can over-flag acceptable motion, understate context-sensitive behavior, and misclassify visually acceptable micro-adjustments as oscillation or dither. Audit output should therefore be treated as diagnostic evidence, not as automatic proof that a behavior is defective. Manual replay review is still necessary.</w:t>
      </w:r>
    </w:p>
    <w:p>
      <w:pPr>
        <w:pStyle w:val="Heading1"/>
        <w:spacing w:before="160" w:after="60" w:line="276" w:lineRule="auto"/>
      </w:pPr>
      <w:r>
        <w:t>Repository Scope Limitation</w:t>
      </w:r>
    </w:p>
    <w:p>
      <w:pPr>
        <w:spacing w:before="0" w:after="100" w:line="276" w:lineRule="auto"/>
      </w:pPr>
      <w:r>
        <w:t>The repository includes a substantial working set of Version 2 PV–PP materials sufficient for study, inspection, and partial reconstruction. It should not be marketed as a complete or final archive of the entire PV–PP framework. Some materials may be omitted, condensed, or reorganized for repository clarity, and framework development remains open elsewhere.</w:t>
      </w:r>
    </w:p>
    <w:p>
      <w:pPr>
        <w:pStyle w:val="Heading1"/>
        <w:spacing w:before="160" w:after="60" w:line="276" w:lineRule="auto"/>
      </w:pPr>
      <w:r>
        <w:t>Bottom-Line Limitation Statement</w:t>
      </w:r>
    </w:p>
    <w:p>
      <w:pPr>
        <w:spacing w:before="0" w:after="100" w:line="276" w:lineRule="auto"/>
      </w:pPr>
      <w:r>
        <w:t>The correct reading is narrow and direct: this repository contains a disciplined, scenario-specific benchmark showing that a PV–PP implementation can generate a distinctive rescue-and-sacrifice pattern without scalar aggregation as the governing decision rule, and that it outperforms a self-preserving scalar comparator in the benchmark’s harder cases. It does not establish universal claims about scalar models, sacrifice in general, or the full PV–PP framework.</w:t>
      </w:r>
    </w:p>
    <w:tbl>
      <w:tblPr>
        <w:tblW w:type="auto" w:w="0"/>
        <w:jc w:val="center"/>
        <w:tblLayout w:type="fixed"/>
        <w:tblLook w:firstColumn="1" w:firstRow="1" w:lastColumn="0" w:lastRow="0" w:noHBand="0" w:noVBand="1" w:val="04A0"/>
      </w:tblPr>
      <w:tblGrid>
        <w:gridCol w:w="9792"/>
      </w:tblGrid>
      <w:tr>
        <w:tc>
          <w:tcPr>
            <w:tcW w:type="dxa" w:w="9432"/>
            <w:shd w:fill="D9EAD3"/>
            <w:tcMar>
              <w:top w:w="90" w:type="dxa"/>
              <w:start w:w="120" w:type="dxa"/>
              <w:bottom w:w="90" w:type="dxa"/>
              <w:end w:w="120" w:type="dxa"/>
            </w:tcMar>
          </w:tcPr>
          <w:p>
            <w:pPr>
              <w:jc w:val="center"/>
            </w:pPr>
            <w:r>
              <w:rPr>
                <w:b/>
                <w:sz w:val="21"/>
              </w:rPr>
              <w:t>Do not sell this benchmark as more than it is.</w:t>
            </w:r>
          </w:p>
        </w:tc>
      </w:tr>
      <w:tr>
        <w:tc>
          <w:tcPr>
            <w:tcW w:type="dxa" w:w="9792"/>
            <w:tcMar>
              <w:top w:w="100" w:type="dxa"/>
              <w:start w:w="120" w:type="dxa"/>
              <w:bottom w:w="100" w:type="dxa"/>
              <w:end w:w="120" w:type="dxa"/>
            </w:tcMar>
          </w:tcPr>
          <w:p>
            <w:pPr>
              <w:jc w:val="center"/>
            </w:pPr>
            <w:r>
              <w:rPr>
                <w:sz w:val="20"/>
              </w:rPr>
              <w:t>Its value is disciplined discrimination inside a bounded scenario family, not universal closure.</w:t>
            </w:r>
          </w:p>
        </w:tc>
      </w:tr>
    </w:tbl>
    <w:p>
      <w:pPr>
        <w:spacing w:before="0" w:after="0" w:line="276" w:lineRule="auto"/>
      </w:pPr>
    </w:p>
    <w:sectPr w:rsidR="00FC693F" w:rsidRPr="0006063C" w:rsidSect="00034616">
      <w:pgSz w:w="12240" w:h="15840"/>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97D"/>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44444"/>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F497D"/>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