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86142" w14:textId="77777777" w:rsidR="003569CD" w:rsidRDefault="00000000">
      <w:pPr>
        <w:jc w:val="center"/>
      </w:pPr>
      <w:r>
        <w:rPr>
          <w:rFonts w:ascii="Aptos Display" w:hAnsi="Aptos Display"/>
          <w:b/>
          <w:color w:val="1F3756"/>
          <w:sz w:val="48"/>
        </w:rPr>
        <w:t>PV–PP Framework</w:t>
      </w:r>
    </w:p>
    <w:p w14:paraId="09C7D13C" w14:textId="77777777" w:rsidR="003569CD" w:rsidRDefault="00000000">
      <w:pPr>
        <w:jc w:val="center"/>
      </w:pPr>
      <w:r>
        <w:rPr>
          <w:rFonts w:ascii="Aptos Display" w:hAnsi="Aptos Display"/>
          <w:b/>
          <w:color w:val="2F5496"/>
          <w:sz w:val="36"/>
        </w:rPr>
        <w:t>Executive Overview and Repository Guide</w:t>
      </w:r>
    </w:p>
    <w:p w14:paraId="51B29D5F" w14:textId="77777777" w:rsidR="003569CD" w:rsidRDefault="00000000">
      <w:pPr>
        <w:jc w:val="center"/>
      </w:pPr>
      <w:r>
        <w:rPr>
          <w:i/>
          <w:sz w:val="21"/>
        </w:rPr>
        <w:t>Version 0.1  |  Framework-facing overview for the public PV–PP repository package</w:t>
      </w:r>
    </w:p>
    <w:p w14:paraId="4C4C36A7" w14:textId="77777777" w:rsidR="003569CD" w:rsidRDefault="003569CD"/>
    <w:tbl>
      <w:tblPr>
        <w:tblStyle w:val="TableGrid"/>
        <w:tblW w:w="0" w:type="auto"/>
        <w:jc w:val="center"/>
        <w:tblLook w:val="04A0" w:firstRow="1" w:lastRow="0" w:firstColumn="1" w:lastColumn="0" w:noHBand="0" w:noVBand="1"/>
      </w:tblPr>
      <w:tblGrid>
        <w:gridCol w:w="2448"/>
        <w:gridCol w:w="7056"/>
      </w:tblGrid>
      <w:tr w:rsidR="003569CD" w14:paraId="5D0B976B" w14:textId="77777777">
        <w:trPr>
          <w:jc w:val="center"/>
        </w:trPr>
        <w:tc>
          <w:tcPr>
            <w:tcW w:w="2448" w:type="dxa"/>
            <w:shd w:val="clear" w:color="auto" w:fill="D9EAF7"/>
            <w:vAlign w:val="center"/>
          </w:tcPr>
          <w:p w14:paraId="22D98926" w14:textId="77777777" w:rsidR="003569CD" w:rsidRDefault="00000000">
            <w:r>
              <w:t>Document Role</w:t>
            </w:r>
          </w:p>
        </w:tc>
        <w:tc>
          <w:tcPr>
            <w:tcW w:w="7056" w:type="dxa"/>
            <w:vAlign w:val="center"/>
          </w:tcPr>
          <w:p w14:paraId="0E6F408A" w14:textId="77777777" w:rsidR="003569CD" w:rsidRDefault="00000000">
            <w:r>
              <w:t>High-level architectural overview, repository map, and reading guide for the full PV–PP framework release.</w:t>
            </w:r>
          </w:p>
        </w:tc>
      </w:tr>
      <w:tr w:rsidR="003569CD" w14:paraId="00B2A813" w14:textId="77777777">
        <w:trPr>
          <w:jc w:val="center"/>
        </w:trPr>
        <w:tc>
          <w:tcPr>
            <w:tcW w:w="2448" w:type="dxa"/>
            <w:shd w:val="clear" w:color="auto" w:fill="D9EAF7"/>
            <w:vAlign w:val="center"/>
          </w:tcPr>
          <w:p w14:paraId="20BCC0EF" w14:textId="77777777" w:rsidR="003569CD" w:rsidRDefault="00000000">
            <w:r>
              <w:t>What It Is Not</w:t>
            </w:r>
          </w:p>
        </w:tc>
        <w:tc>
          <w:tcPr>
            <w:tcW w:w="7056" w:type="dxa"/>
            <w:vAlign w:val="center"/>
          </w:tcPr>
          <w:p w14:paraId="04425B3B" w14:textId="77777777" w:rsidR="003569CD" w:rsidRDefault="00000000">
            <w:r>
              <w:t>Not a benchmark memo, not a canonical operator specification, and not a replacement for the formal architecture files.</w:t>
            </w:r>
          </w:p>
        </w:tc>
      </w:tr>
      <w:tr w:rsidR="003569CD" w14:paraId="184A86F1" w14:textId="77777777">
        <w:trPr>
          <w:jc w:val="center"/>
        </w:trPr>
        <w:tc>
          <w:tcPr>
            <w:tcW w:w="2448" w:type="dxa"/>
            <w:shd w:val="clear" w:color="auto" w:fill="D9EAF7"/>
            <w:vAlign w:val="center"/>
          </w:tcPr>
          <w:p w14:paraId="60E698DF" w14:textId="77777777" w:rsidR="003569CD" w:rsidRDefault="00000000">
            <w:r>
              <w:t>Primary Use</w:t>
            </w:r>
          </w:p>
        </w:tc>
        <w:tc>
          <w:tcPr>
            <w:tcW w:w="7056" w:type="dxa"/>
            <w:vAlign w:val="center"/>
          </w:tcPr>
          <w:p w14:paraId="09839728" w14:textId="77777777" w:rsidR="003569CD" w:rsidRDefault="00000000">
            <w:r>
              <w:t>Give a serious reader enough orientation to study the framework, navigate the repository, and identify the right files for implementation or deeper review.</w:t>
            </w:r>
          </w:p>
        </w:tc>
      </w:tr>
    </w:tbl>
    <w:p w14:paraId="7E2781DF" w14:textId="77777777" w:rsidR="003569CD" w:rsidRDefault="003569CD"/>
    <w:p w14:paraId="4CAE3C4D" w14:textId="77777777" w:rsidR="003569CD" w:rsidRDefault="00000000">
      <w:r>
        <w:rPr>
          <w:b/>
          <w:color w:val="1F3756"/>
        </w:rPr>
        <w:t>Summary</w:t>
      </w:r>
    </w:p>
    <w:p w14:paraId="534C2C37" w14:textId="77777777" w:rsidR="003569CD" w:rsidRDefault="00000000">
      <w:pPr>
        <w:spacing w:after="240"/>
      </w:pPr>
      <w:r>
        <w:t>PV–PP is a general formal architecture of viability and action. It models systems as structured, bounded entities whose persistence depends on heterogeneous domains, threshold conditions, and transition dynamics rather than on a single governing scalar objective. Its decision layer then organizes perception, pressure, collapse structure, governing-domain identification, graph-backed policy construction, completeness validation, feasibility filtering, domain framing, adequacy, selection, and execution into one explicit stack. This document explains that architecture at an executive level and shows how the repository is organized for study and implementation.</w:t>
      </w:r>
    </w:p>
    <w:p w14:paraId="2C491672" w14:textId="77777777" w:rsidR="003569CD" w:rsidRDefault="00000000">
      <w:r>
        <w:br w:type="page"/>
      </w:r>
    </w:p>
    <w:p w14:paraId="0AEECC70" w14:textId="77777777" w:rsidR="003569CD" w:rsidRDefault="00000000">
      <w:pPr>
        <w:pStyle w:val="Heading1"/>
      </w:pPr>
      <w:r>
        <w:lastRenderedPageBreak/>
        <w:t>Purpose of This Overview</w:t>
      </w:r>
    </w:p>
    <w:p w14:paraId="0625A0EF" w14:textId="77777777" w:rsidR="003569CD" w:rsidRDefault="00000000">
      <w:pPr>
        <w:spacing w:after="160"/>
      </w:pPr>
      <w:r>
        <w:t>This overview is the top-entry document for the public PV–PP framework package. Its job is to explain what the framework is, what architectural commitments define it, how the full decision stack is organized, and how the repository should be navigated.</w:t>
      </w:r>
    </w:p>
    <w:p w14:paraId="6C9BA5CC" w14:textId="77777777" w:rsidR="003569CD" w:rsidRDefault="00000000">
      <w:pPr>
        <w:spacing w:after="160"/>
      </w:pPr>
      <w:r>
        <w:t>It is intentionally broader than a benchmark note and intentionally lighter than the canonical specifications. The canonical and supporting files remain the authoritative source for exact definitions, operator boundaries, and formal constraints.</w:t>
      </w:r>
    </w:p>
    <w:p w14:paraId="2A346D0F" w14:textId="77777777" w:rsidR="003569CD" w:rsidRDefault="00000000">
      <w:pPr>
        <w:pStyle w:val="Heading1"/>
      </w:pPr>
      <w:r>
        <w:t>Why the Framework Exists</w:t>
      </w:r>
    </w:p>
    <w:p w14:paraId="3848AC25" w14:textId="77777777" w:rsidR="003569CD" w:rsidRDefault="00000000">
      <w:pPr>
        <w:spacing w:after="160"/>
      </w:pPr>
      <w:r>
        <w:t>PV–PP begins from the claim that many real decision problems are not truthfully captured by treating all relevant states, risks, goods, and losses as one commensurable objective. The framework therefore starts from structured viability rather than scalar optimization.</w:t>
      </w:r>
    </w:p>
    <w:p w14:paraId="5700DD29" w14:textId="77777777" w:rsidR="003569CD" w:rsidRDefault="00000000">
      <w:pPr>
        <w:spacing w:after="160"/>
      </w:pPr>
      <w:r>
        <w:t>Its central question is not simply how to maximize a score. Its central question is how a bounded system preserves, restores, or destroys the structures that actually bear persistence under pressure, uncertainty, and change.</w:t>
      </w:r>
    </w:p>
    <w:p w14:paraId="57313FF1" w14:textId="77777777" w:rsidR="003569CD" w:rsidRDefault="00000000">
      <w:pPr>
        <w:pStyle w:val="Heading1"/>
      </w:pPr>
      <w:r>
        <w:t>Core Conceptual Stance</w:t>
      </w:r>
    </w:p>
    <w:p w14:paraId="176ED66C" w14:textId="77777777" w:rsidR="003569CD" w:rsidRDefault="00000000">
      <w:pPr>
        <w:spacing w:after="160"/>
      </w:pPr>
      <w:r>
        <w:t>At the highest level, PV–PP treats agents or systems as bounded entities occupying structured states. Those states are composed of heterogeneous Productive Power domains, subject to threshold conditions, affected by interaction, and evolved through explicit transition dynamics.</w:t>
      </w:r>
    </w:p>
    <w:p w14:paraId="1224A6DB" w14:textId="77777777" w:rsidR="003569CD" w:rsidRDefault="00000000">
      <w:pPr>
        <w:spacing w:after="160"/>
      </w:pPr>
      <w:r>
        <w:t>This yields several defining commitments:</w:t>
      </w:r>
      <w:r>
        <w:br/>
        <w:t>• state is structured, not scalar by default</w:t>
      </w:r>
      <w:r>
        <w:br/>
        <w:t>• viability is thresholded, not assumed continuously tradable</w:t>
      </w:r>
      <w:r>
        <w:br/>
        <w:t>• transition is explicit rather than hidden inside optimization</w:t>
      </w:r>
      <w:r>
        <w:br/>
        <w:t>• perception matters, so the decision layer begins from PPP rather than omniscient state</w:t>
      </w:r>
      <w:r>
        <w:br/>
        <w:t>• decision behavior is organized through staged operators with explicit boundaries</w:t>
      </w:r>
      <w:r>
        <w:br/>
        <w:t>• action admissibility and selection are not treated as the same question</w:t>
      </w:r>
    </w:p>
    <w:p w14:paraId="2321ED30" w14:textId="77777777" w:rsidR="003569CD" w:rsidRDefault="00000000">
      <w:pPr>
        <w:pStyle w:val="Heading1"/>
      </w:pPr>
      <w:r>
        <w:t>Layered Architecture</w:t>
      </w:r>
    </w:p>
    <w:p w14:paraId="679504CE" w14:textId="77777777" w:rsidR="003569CD" w:rsidRDefault="00000000">
      <w:pPr>
        <w:spacing w:after="160"/>
      </w:pPr>
      <w:r>
        <w:t>The framework is organized in two major layers.</w:t>
      </w:r>
    </w:p>
    <w:p w14:paraId="5AE63FC8" w14:textId="77777777" w:rsidR="003569CD" w:rsidRDefault="00000000">
      <w:pPr>
        <w:spacing w:after="160"/>
      </w:pPr>
      <w:r>
        <w:t>Layer 1 is the core formal system. It defines the ontological substrate: Productive Power, viability boundaries, interaction, transition, projection, reachability, and closure. Layer 1 does not select policies. It defines what kind of system is being modeled and how its state can evolve.</w:t>
      </w:r>
    </w:p>
    <w:p w14:paraId="4E29B98A" w14:textId="77777777" w:rsidR="003569CD" w:rsidRDefault="00000000">
      <w:pPr>
        <w:spacing w:after="160"/>
      </w:pPr>
      <w:r>
        <w:t>Layer 2 is the decision architecture. It governs action under bounded perception and viability pressure. It organizes the decision process into an explicit sequence that moves from perceived state to execution through structured intermediate operators.</w:t>
      </w:r>
    </w:p>
    <w:p w14:paraId="31BFD3D3" w14:textId="77777777" w:rsidR="003569CD" w:rsidRDefault="00000000">
      <w:pPr>
        <w:pStyle w:val="Heading1"/>
      </w:pPr>
      <w:r>
        <w:lastRenderedPageBreak/>
        <w:t>Full Layer 2 Decision Stack</w:t>
      </w:r>
    </w:p>
    <w:p w14:paraId="272E26B0" w14:textId="77777777" w:rsidR="003569CD" w:rsidRDefault="00000000">
      <w:pPr>
        <w:spacing w:after="120"/>
      </w:pPr>
      <w:r>
        <w:t>The current full stack should be read as one ordered architecture, not as a loose collection of concepts:</w:t>
      </w:r>
    </w:p>
    <w:p w14:paraId="308EEA08" w14:textId="77777777" w:rsidR="003569CD" w:rsidRDefault="00000000">
      <w:r>
        <w:rPr>
          <w:b/>
          <w:color w:val="1F3756"/>
        </w:rPr>
        <w:t>PPP → Φ → H → G → ℛ → Graph Layer / seed substrate → Π → Π completeness validation → Constraints → Domain Framing → Adequacy → Σ → ε</w:t>
      </w:r>
    </w:p>
    <w:p w14:paraId="75B5024E" w14:textId="77777777" w:rsidR="003569CD" w:rsidRDefault="00000000">
      <w:pPr>
        <w:spacing w:after="160"/>
      </w:pPr>
      <w:r>
        <w:t>Each stage has a distinct role. The framework rejects downstream compensation for upstream omission or misclassification.</w:t>
      </w:r>
    </w:p>
    <w:tbl>
      <w:tblPr>
        <w:tblStyle w:val="TableGrid"/>
        <w:tblW w:w="0" w:type="auto"/>
        <w:jc w:val="center"/>
        <w:tblLook w:val="04A0" w:firstRow="1" w:lastRow="0" w:firstColumn="1" w:lastColumn="0" w:noHBand="0" w:noVBand="1"/>
      </w:tblPr>
      <w:tblGrid>
        <w:gridCol w:w="2313"/>
        <w:gridCol w:w="2625"/>
        <w:gridCol w:w="5070"/>
      </w:tblGrid>
      <w:tr w:rsidR="003569CD" w14:paraId="65288A60" w14:textId="77777777">
        <w:trPr>
          <w:tblHeader/>
          <w:jc w:val="center"/>
        </w:trPr>
        <w:tc>
          <w:tcPr>
            <w:tcW w:w="3264" w:type="dxa"/>
            <w:shd w:val="clear" w:color="auto" w:fill="BFD7EE"/>
            <w:vAlign w:val="center"/>
          </w:tcPr>
          <w:p w14:paraId="3C265C87" w14:textId="77777777" w:rsidR="003569CD" w:rsidRDefault="00000000">
            <w:r>
              <w:t>Stage</w:t>
            </w:r>
          </w:p>
        </w:tc>
        <w:tc>
          <w:tcPr>
            <w:tcW w:w="3264" w:type="dxa"/>
            <w:shd w:val="clear" w:color="auto" w:fill="BFD7EE"/>
            <w:vAlign w:val="center"/>
          </w:tcPr>
          <w:p w14:paraId="26B879FE" w14:textId="77777777" w:rsidR="003569CD" w:rsidRDefault="00000000">
            <w:r>
              <w:t>Operator</w:t>
            </w:r>
          </w:p>
        </w:tc>
        <w:tc>
          <w:tcPr>
            <w:tcW w:w="3264" w:type="dxa"/>
            <w:shd w:val="clear" w:color="auto" w:fill="BFD7EE"/>
            <w:vAlign w:val="center"/>
          </w:tcPr>
          <w:p w14:paraId="0E2CBBAD" w14:textId="77777777" w:rsidR="003569CD" w:rsidRDefault="00000000">
            <w:r>
              <w:t>Executive role</w:t>
            </w:r>
          </w:p>
        </w:tc>
      </w:tr>
      <w:tr w:rsidR="003569CD" w14:paraId="2E84301B" w14:textId="77777777">
        <w:trPr>
          <w:jc w:val="center"/>
        </w:trPr>
        <w:tc>
          <w:tcPr>
            <w:tcW w:w="720" w:type="dxa"/>
            <w:vAlign w:val="center"/>
          </w:tcPr>
          <w:p w14:paraId="5F517D5C" w14:textId="77777777" w:rsidR="003569CD" w:rsidRDefault="00000000">
            <w:r>
              <w:t>1</w:t>
            </w:r>
          </w:p>
        </w:tc>
        <w:tc>
          <w:tcPr>
            <w:tcW w:w="2448" w:type="dxa"/>
            <w:vAlign w:val="center"/>
          </w:tcPr>
          <w:p w14:paraId="54430F42" w14:textId="77777777" w:rsidR="003569CD" w:rsidRDefault="00000000">
            <w:r>
              <w:t>PPP</w:t>
            </w:r>
          </w:p>
        </w:tc>
        <w:tc>
          <w:tcPr>
            <w:tcW w:w="7056" w:type="dxa"/>
            <w:vAlign w:val="center"/>
          </w:tcPr>
          <w:p w14:paraId="2BAD32D7" w14:textId="77777777" w:rsidR="003569CD" w:rsidRDefault="00000000">
            <w:r>
              <w:t>Perceived Productive Power state; the decision system starts from perceived rather than omniscient state.</w:t>
            </w:r>
          </w:p>
        </w:tc>
      </w:tr>
      <w:tr w:rsidR="003569CD" w14:paraId="5E62B0F7" w14:textId="77777777">
        <w:trPr>
          <w:jc w:val="center"/>
        </w:trPr>
        <w:tc>
          <w:tcPr>
            <w:tcW w:w="720" w:type="dxa"/>
            <w:vAlign w:val="center"/>
          </w:tcPr>
          <w:p w14:paraId="20365906" w14:textId="77777777" w:rsidR="003569CD" w:rsidRDefault="00000000">
            <w:r>
              <w:t>2</w:t>
            </w:r>
          </w:p>
        </w:tc>
        <w:tc>
          <w:tcPr>
            <w:tcW w:w="2448" w:type="dxa"/>
            <w:vAlign w:val="center"/>
          </w:tcPr>
          <w:p w14:paraId="6001ED28" w14:textId="77777777" w:rsidR="003569CD" w:rsidRDefault="00000000">
            <w:r>
              <w:t>Φ</w:t>
            </w:r>
          </w:p>
        </w:tc>
        <w:tc>
          <w:tcPr>
            <w:tcW w:w="7056" w:type="dxa"/>
            <w:vAlign w:val="center"/>
          </w:tcPr>
          <w:p w14:paraId="44F3F74A" w14:textId="77777777" w:rsidR="003569CD" w:rsidRDefault="00000000">
            <w:r>
              <w:t>Pressure-field representation of current constraint intensity and directional strain across domains.</w:t>
            </w:r>
          </w:p>
        </w:tc>
      </w:tr>
      <w:tr w:rsidR="003569CD" w14:paraId="5D94D390" w14:textId="77777777">
        <w:trPr>
          <w:jc w:val="center"/>
        </w:trPr>
        <w:tc>
          <w:tcPr>
            <w:tcW w:w="720" w:type="dxa"/>
            <w:vAlign w:val="center"/>
          </w:tcPr>
          <w:p w14:paraId="0B2BE0D4" w14:textId="77777777" w:rsidR="003569CD" w:rsidRDefault="00000000">
            <w:r>
              <w:t>3</w:t>
            </w:r>
          </w:p>
        </w:tc>
        <w:tc>
          <w:tcPr>
            <w:tcW w:w="2448" w:type="dxa"/>
            <w:vAlign w:val="center"/>
          </w:tcPr>
          <w:p w14:paraId="2D5CEA7A" w14:textId="77777777" w:rsidR="003569CD" w:rsidRDefault="00000000">
            <w:r>
              <w:t>H</w:t>
            </w:r>
          </w:p>
        </w:tc>
        <w:tc>
          <w:tcPr>
            <w:tcW w:w="7056" w:type="dxa"/>
            <w:vAlign w:val="center"/>
          </w:tcPr>
          <w:p w14:paraId="609C0C68" w14:textId="77777777" w:rsidR="003569CD" w:rsidRDefault="00000000">
            <w:r>
              <w:t>Baseline collapse-horizon structure: time-to-breach mapping under continuation conditions.</w:t>
            </w:r>
          </w:p>
        </w:tc>
      </w:tr>
      <w:tr w:rsidR="003569CD" w14:paraId="4EB4B19F" w14:textId="77777777">
        <w:trPr>
          <w:jc w:val="center"/>
        </w:trPr>
        <w:tc>
          <w:tcPr>
            <w:tcW w:w="720" w:type="dxa"/>
            <w:vAlign w:val="center"/>
          </w:tcPr>
          <w:p w14:paraId="318516BA" w14:textId="77777777" w:rsidR="003569CD" w:rsidRDefault="00000000">
            <w:r>
              <w:t>4</w:t>
            </w:r>
          </w:p>
        </w:tc>
        <w:tc>
          <w:tcPr>
            <w:tcW w:w="2448" w:type="dxa"/>
            <w:vAlign w:val="center"/>
          </w:tcPr>
          <w:p w14:paraId="59C5A81F" w14:textId="77777777" w:rsidR="003569CD" w:rsidRDefault="00000000">
            <w:r>
              <w:t>G</w:t>
            </w:r>
          </w:p>
        </w:tc>
        <w:tc>
          <w:tcPr>
            <w:tcW w:w="7056" w:type="dxa"/>
            <w:vAlign w:val="center"/>
          </w:tcPr>
          <w:p w14:paraId="0ECFA334" w14:textId="77777777" w:rsidR="003569CD" w:rsidRDefault="00000000">
            <w:r>
              <w:t>Identification of the governing domain set, including dependency closure where required.</w:t>
            </w:r>
          </w:p>
        </w:tc>
      </w:tr>
      <w:tr w:rsidR="003569CD" w14:paraId="762B21FD" w14:textId="77777777">
        <w:trPr>
          <w:jc w:val="center"/>
        </w:trPr>
        <w:tc>
          <w:tcPr>
            <w:tcW w:w="720" w:type="dxa"/>
            <w:vAlign w:val="center"/>
          </w:tcPr>
          <w:p w14:paraId="050EEF4A" w14:textId="77777777" w:rsidR="003569CD" w:rsidRDefault="00000000">
            <w:r>
              <w:t>5</w:t>
            </w:r>
          </w:p>
        </w:tc>
        <w:tc>
          <w:tcPr>
            <w:tcW w:w="2448" w:type="dxa"/>
            <w:vAlign w:val="center"/>
          </w:tcPr>
          <w:p w14:paraId="28FEAB26" w14:textId="77777777" w:rsidR="003569CD" w:rsidRDefault="00000000">
            <w:r>
              <w:t>ℛ</w:t>
            </w:r>
          </w:p>
        </w:tc>
        <w:tc>
          <w:tcPr>
            <w:tcW w:w="7056" w:type="dxa"/>
            <w:vAlign w:val="center"/>
          </w:tcPr>
          <w:p w14:paraId="4CF88C4C" w14:textId="77777777" w:rsidR="003569CD" w:rsidRDefault="00000000">
            <w:r>
              <w:t>Regime classification: determines behavioral posture under the current pressure and horizon structure.</w:t>
            </w:r>
          </w:p>
        </w:tc>
      </w:tr>
      <w:tr w:rsidR="003569CD" w14:paraId="14442286" w14:textId="77777777">
        <w:trPr>
          <w:jc w:val="center"/>
        </w:trPr>
        <w:tc>
          <w:tcPr>
            <w:tcW w:w="720" w:type="dxa"/>
            <w:vAlign w:val="center"/>
          </w:tcPr>
          <w:p w14:paraId="6FC3D3B4" w14:textId="77777777" w:rsidR="003569CD" w:rsidRDefault="00000000">
            <w:r>
              <w:t>6</w:t>
            </w:r>
          </w:p>
        </w:tc>
        <w:tc>
          <w:tcPr>
            <w:tcW w:w="2448" w:type="dxa"/>
            <w:vAlign w:val="center"/>
          </w:tcPr>
          <w:p w14:paraId="469D96B4" w14:textId="77777777" w:rsidR="003569CD" w:rsidRDefault="00000000">
            <w:r>
              <w:t>Graph Layer / seed substrate</w:t>
            </w:r>
          </w:p>
        </w:tc>
        <w:tc>
          <w:tcPr>
            <w:tcW w:w="7056" w:type="dxa"/>
            <w:vAlign w:val="center"/>
          </w:tcPr>
          <w:p w14:paraId="26AB4A0A" w14:textId="77777777" w:rsidR="003569CD" w:rsidRDefault="00000000">
            <w:r>
              <w:t>Construction of the reachable structural policy space through domains, instances, transformations, composition paths, and bounded seeds.</w:t>
            </w:r>
          </w:p>
        </w:tc>
      </w:tr>
      <w:tr w:rsidR="003569CD" w14:paraId="045E659D" w14:textId="77777777">
        <w:trPr>
          <w:jc w:val="center"/>
        </w:trPr>
        <w:tc>
          <w:tcPr>
            <w:tcW w:w="720" w:type="dxa"/>
            <w:vAlign w:val="center"/>
          </w:tcPr>
          <w:p w14:paraId="14ED2DB3" w14:textId="77777777" w:rsidR="003569CD" w:rsidRDefault="00000000">
            <w:r>
              <w:t>7</w:t>
            </w:r>
          </w:p>
        </w:tc>
        <w:tc>
          <w:tcPr>
            <w:tcW w:w="2448" w:type="dxa"/>
            <w:vAlign w:val="center"/>
          </w:tcPr>
          <w:p w14:paraId="69FED649" w14:textId="77777777" w:rsidR="003569CD" w:rsidRDefault="00000000">
            <w:r>
              <w:t>Π</w:t>
            </w:r>
          </w:p>
        </w:tc>
        <w:tc>
          <w:tcPr>
            <w:tcW w:w="7056" w:type="dxa"/>
            <w:vAlign w:val="center"/>
          </w:tcPr>
          <w:p w14:paraId="706F9971" w14:textId="77777777" w:rsidR="003569CD" w:rsidRDefault="00000000">
            <w:r>
              <w:t>Policy construction from graph-derived seeds; candidate generation remains graph-bound rather than improvisational.</w:t>
            </w:r>
          </w:p>
        </w:tc>
      </w:tr>
      <w:tr w:rsidR="003569CD" w14:paraId="625C58D8" w14:textId="77777777">
        <w:trPr>
          <w:jc w:val="center"/>
        </w:trPr>
        <w:tc>
          <w:tcPr>
            <w:tcW w:w="720" w:type="dxa"/>
            <w:vAlign w:val="center"/>
          </w:tcPr>
          <w:p w14:paraId="346CD82E" w14:textId="77777777" w:rsidR="003569CD" w:rsidRDefault="00000000">
            <w:r>
              <w:t>8</w:t>
            </w:r>
          </w:p>
        </w:tc>
        <w:tc>
          <w:tcPr>
            <w:tcW w:w="2448" w:type="dxa"/>
            <w:vAlign w:val="center"/>
          </w:tcPr>
          <w:p w14:paraId="4EAE33A1" w14:textId="77777777" w:rsidR="003569CD" w:rsidRDefault="00000000">
            <w:r>
              <w:t>Π completeness validation</w:t>
            </w:r>
          </w:p>
        </w:tc>
        <w:tc>
          <w:tcPr>
            <w:tcW w:w="7056" w:type="dxa"/>
            <w:vAlign w:val="center"/>
          </w:tcPr>
          <w:p w14:paraId="0BFF75F1" w14:textId="77777777" w:rsidR="003569CD" w:rsidRDefault="00000000">
            <w:r>
              <w:t>Hard sufficiency gate on the candidate set; prevents downstream reasoning over materially incomplete policy space.</w:t>
            </w:r>
          </w:p>
        </w:tc>
      </w:tr>
      <w:tr w:rsidR="003569CD" w14:paraId="5A40A5FD" w14:textId="77777777">
        <w:trPr>
          <w:jc w:val="center"/>
        </w:trPr>
        <w:tc>
          <w:tcPr>
            <w:tcW w:w="720" w:type="dxa"/>
            <w:vAlign w:val="center"/>
          </w:tcPr>
          <w:p w14:paraId="0BC93C73" w14:textId="77777777" w:rsidR="003569CD" w:rsidRDefault="00000000">
            <w:r>
              <w:t>9</w:t>
            </w:r>
          </w:p>
        </w:tc>
        <w:tc>
          <w:tcPr>
            <w:tcW w:w="2448" w:type="dxa"/>
            <w:vAlign w:val="center"/>
          </w:tcPr>
          <w:p w14:paraId="4220C36C" w14:textId="77777777" w:rsidR="003569CD" w:rsidRDefault="00000000">
            <w:r>
              <w:t>Constraints</w:t>
            </w:r>
          </w:p>
        </w:tc>
        <w:tc>
          <w:tcPr>
            <w:tcW w:w="7056" w:type="dxa"/>
            <w:vAlign w:val="center"/>
          </w:tcPr>
          <w:p w14:paraId="7DF5D02F" w14:textId="77777777" w:rsidR="003569CD" w:rsidRDefault="00000000">
            <w:r>
              <w:t>Feasibility filtering over the licensed candidate set.</w:t>
            </w:r>
          </w:p>
        </w:tc>
      </w:tr>
      <w:tr w:rsidR="003569CD" w14:paraId="35C4F26E" w14:textId="77777777">
        <w:trPr>
          <w:jc w:val="center"/>
        </w:trPr>
        <w:tc>
          <w:tcPr>
            <w:tcW w:w="720" w:type="dxa"/>
            <w:vAlign w:val="center"/>
          </w:tcPr>
          <w:p w14:paraId="7D2CD1F8" w14:textId="77777777" w:rsidR="003569CD" w:rsidRDefault="00000000">
            <w:r>
              <w:t>10</w:t>
            </w:r>
          </w:p>
        </w:tc>
        <w:tc>
          <w:tcPr>
            <w:tcW w:w="2448" w:type="dxa"/>
            <w:vAlign w:val="center"/>
          </w:tcPr>
          <w:p w14:paraId="3B8008FC" w14:textId="77777777" w:rsidR="003569CD" w:rsidRDefault="00000000">
            <w:r>
              <w:t>Domain Framing</w:t>
            </w:r>
          </w:p>
        </w:tc>
        <w:tc>
          <w:tcPr>
            <w:tcW w:w="7056" w:type="dxa"/>
            <w:vAlign w:val="center"/>
          </w:tcPr>
          <w:p w14:paraId="39E588FC" w14:textId="77777777" w:rsidR="003569CD" w:rsidRDefault="00000000">
            <w:r>
              <w:t>Explicit declaration of the preservation target actually being evaluated.</w:t>
            </w:r>
          </w:p>
        </w:tc>
      </w:tr>
      <w:tr w:rsidR="003569CD" w14:paraId="6443B13D" w14:textId="77777777">
        <w:trPr>
          <w:jc w:val="center"/>
        </w:trPr>
        <w:tc>
          <w:tcPr>
            <w:tcW w:w="720" w:type="dxa"/>
            <w:vAlign w:val="center"/>
          </w:tcPr>
          <w:p w14:paraId="5F95395B" w14:textId="77777777" w:rsidR="003569CD" w:rsidRDefault="00000000">
            <w:r>
              <w:t>11</w:t>
            </w:r>
          </w:p>
        </w:tc>
        <w:tc>
          <w:tcPr>
            <w:tcW w:w="2448" w:type="dxa"/>
            <w:vAlign w:val="center"/>
          </w:tcPr>
          <w:p w14:paraId="7AC63843" w14:textId="77777777" w:rsidR="003569CD" w:rsidRDefault="00000000">
            <w:r>
              <w:t>Adequacy</w:t>
            </w:r>
          </w:p>
        </w:tc>
        <w:tc>
          <w:tcPr>
            <w:tcW w:w="7056" w:type="dxa"/>
            <w:vAlign w:val="center"/>
          </w:tcPr>
          <w:p w14:paraId="21696B3C" w14:textId="77777777" w:rsidR="003569CD" w:rsidRDefault="00000000">
            <w:r>
              <w:t>Recovery-corridor and joint-sustainment filter relative to the framed governing structure.</w:t>
            </w:r>
          </w:p>
        </w:tc>
      </w:tr>
      <w:tr w:rsidR="003569CD" w14:paraId="4ABB6C34" w14:textId="77777777">
        <w:trPr>
          <w:jc w:val="center"/>
        </w:trPr>
        <w:tc>
          <w:tcPr>
            <w:tcW w:w="720" w:type="dxa"/>
            <w:vAlign w:val="center"/>
          </w:tcPr>
          <w:p w14:paraId="13F36633" w14:textId="77777777" w:rsidR="003569CD" w:rsidRDefault="00000000">
            <w:r>
              <w:t>12</w:t>
            </w:r>
          </w:p>
        </w:tc>
        <w:tc>
          <w:tcPr>
            <w:tcW w:w="2448" w:type="dxa"/>
            <w:vAlign w:val="center"/>
          </w:tcPr>
          <w:p w14:paraId="7BA481B9" w14:textId="77777777" w:rsidR="003569CD" w:rsidRDefault="00000000">
            <w:r>
              <w:t>Σ</w:t>
            </w:r>
          </w:p>
        </w:tc>
        <w:tc>
          <w:tcPr>
            <w:tcW w:w="7056" w:type="dxa"/>
            <w:vAlign w:val="center"/>
          </w:tcPr>
          <w:p w14:paraId="7111962F" w14:textId="77777777" w:rsidR="003569CD" w:rsidRDefault="00000000">
            <w:r>
              <w:t>Non-scalar selection only; operates after validity, completeness, feasibility, framing, and adequacy have done their work.</w:t>
            </w:r>
          </w:p>
        </w:tc>
      </w:tr>
      <w:tr w:rsidR="003569CD" w14:paraId="0390D7B3" w14:textId="77777777">
        <w:trPr>
          <w:jc w:val="center"/>
        </w:trPr>
        <w:tc>
          <w:tcPr>
            <w:tcW w:w="720" w:type="dxa"/>
            <w:vAlign w:val="center"/>
          </w:tcPr>
          <w:p w14:paraId="1332ECB9" w14:textId="77777777" w:rsidR="003569CD" w:rsidRDefault="00000000">
            <w:r>
              <w:t>13</w:t>
            </w:r>
          </w:p>
        </w:tc>
        <w:tc>
          <w:tcPr>
            <w:tcW w:w="2448" w:type="dxa"/>
            <w:vAlign w:val="center"/>
          </w:tcPr>
          <w:p w14:paraId="23B022EA" w14:textId="77777777" w:rsidR="003569CD" w:rsidRDefault="00000000">
            <w:r>
              <w:t>ε</w:t>
            </w:r>
          </w:p>
        </w:tc>
        <w:tc>
          <w:tcPr>
            <w:tcW w:w="7056" w:type="dxa"/>
            <w:vAlign w:val="center"/>
          </w:tcPr>
          <w:p w14:paraId="37383D34" w14:textId="77777777" w:rsidR="003569CD" w:rsidRDefault="00000000">
            <w:r>
              <w:t>Execution or realization of the selected policy.</w:t>
            </w:r>
          </w:p>
        </w:tc>
      </w:tr>
    </w:tbl>
    <w:p w14:paraId="66AF9F67" w14:textId="77777777" w:rsidR="003569CD" w:rsidRDefault="00000000">
      <w:pPr>
        <w:pStyle w:val="Heading1"/>
      </w:pPr>
      <w:r>
        <w:t>What Makes the Framework Non-Scalar</w:t>
      </w:r>
    </w:p>
    <w:p w14:paraId="7A832727" w14:textId="77777777" w:rsidR="003569CD" w:rsidRDefault="00000000">
      <w:pPr>
        <w:spacing w:after="160"/>
      </w:pPr>
      <w:r>
        <w:t>The framework is non-scalar in architecture, not merely in vocabulary. It does not begin by assuming that heterogeneous domains must be reduced to one master value. It instead preserves structural distinctions between domains, thresholds, collapse ordering, pressure, framing, feasibility, adequacy, and final selection.</w:t>
      </w:r>
    </w:p>
    <w:p w14:paraId="14820339" w14:textId="77777777" w:rsidR="003569CD" w:rsidRDefault="00000000">
      <w:pPr>
        <w:spacing w:after="160"/>
      </w:pPr>
      <w:r>
        <w:lastRenderedPageBreak/>
        <w:t>That does not mean tradeoffs never arise. It means the governing architecture is not built by collapsing everything into one commensurable objective at the outset.</w:t>
      </w:r>
    </w:p>
    <w:p w14:paraId="5AC26584" w14:textId="77777777" w:rsidR="003569CD" w:rsidRDefault="00000000">
      <w:pPr>
        <w:spacing w:after="160"/>
      </w:pPr>
      <w:r>
        <w:t>For executive purposes, that is the correct public statement: PV–PP is a non-scalar viability architecture with an explicit decision stack.</w:t>
      </w:r>
    </w:p>
    <w:p w14:paraId="6EBD618D" w14:textId="77777777" w:rsidR="003569CD" w:rsidRDefault="00000000">
      <w:pPr>
        <w:pStyle w:val="Heading1"/>
      </w:pPr>
      <w:r>
        <w:t>Repository Structure</w:t>
      </w:r>
    </w:p>
    <w:p w14:paraId="72544DF0" w14:textId="77777777" w:rsidR="003569CD" w:rsidRDefault="00000000">
      <w:r>
        <w:t>This repository should be read as a framework release package with an applied benchmark component, not merely as a benchmark repository with incidental support files. The directory layout therefore has to do two things at once: preserve a clear entry path for the framework itself and keep the benchmark materials understandable as one applied vehicle within that broader architecture.</w:t>
      </w:r>
    </w:p>
    <w:tbl>
      <w:tblPr>
        <w:tblStyle w:val="TableGrid"/>
        <w:tblW w:w="0" w:type="auto"/>
        <w:jc w:val="center"/>
        <w:tblLook w:val="04A0" w:firstRow="1" w:lastRow="0" w:firstColumn="1" w:lastColumn="0" w:noHBand="0" w:noVBand="1"/>
      </w:tblPr>
      <w:tblGrid>
        <w:gridCol w:w="3523"/>
        <w:gridCol w:w="3021"/>
        <w:gridCol w:w="3464"/>
      </w:tblGrid>
      <w:tr w:rsidR="003569CD" w14:paraId="64ACE599" w14:textId="77777777">
        <w:trPr>
          <w:tblHeader/>
          <w:jc w:val="center"/>
        </w:trPr>
        <w:tc>
          <w:tcPr>
            <w:tcW w:w="3264" w:type="dxa"/>
            <w:shd w:val="clear" w:color="auto" w:fill="BFD7EE"/>
          </w:tcPr>
          <w:p w14:paraId="273EE9CC" w14:textId="77777777" w:rsidR="003569CD" w:rsidRDefault="00000000">
            <w:r>
              <w:t>Path</w:t>
            </w:r>
          </w:p>
        </w:tc>
        <w:tc>
          <w:tcPr>
            <w:tcW w:w="3264" w:type="dxa"/>
            <w:shd w:val="clear" w:color="auto" w:fill="BFD7EE"/>
          </w:tcPr>
          <w:p w14:paraId="339C0975" w14:textId="77777777" w:rsidR="003569CD" w:rsidRDefault="00000000">
            <w:r>
              <w:t>Primary contents</w:t>
            </w:r>
          </w:p>
        </w:tc>
        <w:tc>
          <w:tcPr>
            <w:tcW w:w="3264" w:type="dxa"/>
            <w:shd w:val="clear" w:color="auto" w:fill="BFD7EE"/>
          </w:tcPr>
          <w:p w14:paraId="042398E3" w14:textId="77777777" w:rsidR="003569CD" w:rsidRDefault="00000000">
            <w:r>
              <w:t>Role in the package</w:t>
            </w:r>
          </w:p>
        </w:tc>
      </w:tr>
      <w:tr w:rsidR="003569CD" w14:paraId="61FA1087" w14:textId="77777777">
        <w:trPr>
          <w:jc w:val="center"/>
        </w:trPr>
        <w:tc>
          <w:tcPr>
            <w:tcW w:w="1872" w:type="dxa"/>
            <w:vAlign w:val="center"/>
          </w:tcPr>
          <w:p w14:paraId="57F11412" w14:textId="77777777" w:rsidR="003569CD" w:rsidRDefault="00000000">
            <w:r>
              <w:t>src/</w:t>
            </w:r>
          </w:p>
        </w:tc>
        <w:tc>
          <w:tcPr>
            <w:tcW w:w="3600" w:type="dxa"/>
            <w:vAlign w:val="center"/>
          </w:tcPr>
          <w:p w14:paraId="569BC92F" w14:textId="77777777" w:rsidR="003569CD" w:rsidRDefault="00000000">
            <w:r>
              <w:t>benchmark.py; replay_viewer.py; replay_trace_audit.py</w:t>
            </w:r>
          </w:p>
        </w:tc>
        <w:tc>
          <w:tcPr>
            <w:tcW w:w="4752" w:type="dxa"/>
            <w:vAlign w:val="center"/>
          </w:tcPr>
          <w:p w14:paraId="3181F754" w14:textId="77777777" w:rsidR="003569CD" w:rsidRDefault="00000000">
            <w:r>
              <w:t>Executable benchmark and support tooling.</w:t>
            </w:r>
          </w:p>
        </w:tc>
      </w:tr>
      <w:tr w:rsidR="003569CD" w14:paraId="20F622E4" w14:textId="77777777">
        <w:trPr>
          <w:jc w:val="center"/>
        </w:trPr>
        <w:tc>
          <w:tcPr>
            <w:tcW w:w="1872" w:type="dxa"/>
            <w:vAlign w:val="center"/>
          </w:tcPr>
          <w:p w14:paraId="51590207" w14:textId="77777777" w:rsidR="003569CD" w:rsidRDefault="00000000">
            <w:r>
              <w:t>docs/</w:t>
            </w:r>
          </w:p>
        </w:tc>
        <w:tc>
          <w:tcPr>
            <w:tcW w:w="3600" w:type="dxa"/>
            <w:vAlign w:val="center"/>
          </w:tcPr>
          <w:p w14:paraId="5EAFB177" w14:textId="77777777" w:rsidR="003569CD" w:rsidRDefault="00000000">
            <w:r>
              <w:t>README-facing benchmark docs, framework note, replay docs, limitations, results</w:t>
            </w:r>
          </w:p>
        </w:tc>
        <w:tc>
          <w:tcPr>
            <w:tcW w:w="4752" w:type="dxa"/>
            <w:vAlign w:val="center"/>
          </w:tcPr>
          <w:p w14:paraId="153803CA" w14:textId="77777777" w:rsidR="003569CD" w:rsidRDefault="00000000">
            <w:r>
              <w:t>Narrative and explanatory surface for external readers.</w:t>
            </w:r>
          </w:p>
        </w:tc>
      </w:tr>
      <w:tr w:rsidR="003569CD" w14:paraId="26AE7509" w14:textId="77777777">
        <w:trPr>
          <w:jc w:val="center"/>
        </w:trPr>
        <w:tc>
          <w:tcPr>
            <w:tcW w:w="1872" w:type="dxa"/>
            <w:vAlign w:val="center"/>
          </w:tcPr>
          <w:p w14:paraId="1DA55BBF" w14:textId="77777777" w:rsidR="003569CD" w:rsidRDefault="00000000">
            <w:r>
              <w:t>docs/pvpp_framework/</w:t>
            </w:r>
          </w:p>
        </w:tc>
        <w:tc>
          <w:tcPr>
            <w:tcW w:w="3600" w:type="dxa"/>
            <w:vAlign w:val="center"/>
          </w:tcPr>
          <w:p w14:paraId="6BBD7CD6" w14:textId="77777777" w:rsidR="003569CD" w:rsidRDefault="00000000">
            <w:r>
              <w:t>Framework-facing overview and framework index materials</w:t>
            </w:r>
          </w:p>
        </w:tc>
        <w:tc>
          <w:tcPr>
            <w:tcW w:w="4752" w:type="dxa"/>
            <w:vAlign w:val="center"/>
          </w:tcPr>
          <w:p w14:paraId="5F6AFE66" w14:textId="77777777" w:rsidR="003569CD" w:rsidRDefault="00000000">
            <w:r>
              <w:t>Entry layer for readers approaching the full theory release.</w:t>
            </w:r>
          </w:p>
        </w:tc>
      </w:tr>
      <w:tr w:rsidR="003569CD" w14:paraId="19D45E6F" w14:textId="77777777">
        <w:trPr>
          <w:jc w:val="center"/>
        </w:trPr>
        <w:tc>
          <w:tcPr>
            <w:tcW w:w="1872" w:type="dxa"/>
            <w:vAlign w:val="center"/>
          </w:tcPr>
          <w:p w14:paraId="0DCC95EA" w14:textId="70F7745A" w:rsidR="003569CD" w:rsidRDefault="00000000">
            <w:r>
              <w:t>docs/</w:t>
            </w:r>
            <w:proofErr w:type="spellStart"/>
            <w:r>
              <w:t>pvpp_framework</w:t>
            </w:r>
            <w:proofErr w:type="spellEnd"/>
            <w:r>
              <w:t>/s</w:t>
            </w:r>
            <w:r w:rsidR="00EF13F3">
              <w:t>upporting</w:t>
            </w:r>
            <w:r w:rsidR="008B4CEA">
              <w:t>-</w:t>
            </w:r>
            <w:r w:rsidR="00EF13F3">
              <w:t>docs</w:t>
            </w:r>
            <w:r>
              <w:t>/</w:t>
            </w:r>
          </w:p>
        </w:tc>
        <w:tc>
          <w:tcPr>
            <w:tcW w:w="3600" w:type="dxa"/>
            <w:vAlign w:val="center"/>
          </w:tcPr>
          <w:p w14:paraId="7C9FFBF5" w14:textId="77777777" w:rsidR="003569CD" w:rsidRDefault="00000000">
            <w:r>
              <w:t>Canonical and supporting framework documents</w:t>
            </w:r>
          </w:p>
        </w:tc>
        <w:tc>
          <w:tcPr>
            <w:tcW w:w="4752" w:type="dxa"/>
            <w:vAlign w:val="center"/>
          </w:tcPr>
          <w:p w14:paraId="2091F0EC" w14:textId="77777777" w:rsidR="003569CD" w:rsidRDefault="00000000">
            <w:r>
              <w:t>Main formal architecture set for study, reconstruction, and implementation.</w:t>
            </w:r>
          </w:p>
        </w:tc>
      </w:tr>
      <w:tr w:rsidR="003569CD" w14:paraId="07A276B2" w14:textId="77777777">
        <w:trPr>
          <w:jc w:val="center"/>
        </w:trPr>
        <w:tc>
          <w:tcPr>
            <w:tcW w:w="1872" w:type="dxa"/>
            <w:vAlign w:val="center"/>
          </w:tcPr>
          <w:p w14:paraId="033793DB" w14:textId="77777777" w:rsidR="003569CD" w:rsidRDefault="00000000">
            <w:r>
              <w:t>docs/exploratory/</w:t>
            </w:r>
          </w:p>
        </w:tc>
        <w:tc>
          <w:tcPr>
            <w:tcW w:w="3600" w:type="dxa"/>
            <w:vAlign w:val="center"/>
          </w:tcPr>
          <w:p w14:paraId="062FEFA2" w14:textId="77777777" w:rsidR="003569CD" w:rsidRDefault="00000000">
            <w:r>
              <w:t>Clearly labeled exploratory writeups only</w:t>
            </w:r>
          </w:p>
        </w:tc>
        <w:tc>
          <w:tcPr>
            <w:tcW w:w="4752" w:type="dxa"/>
            <w:vAlign w:val="center"/>
          </w:tcPr>
          <w:p w14:paraId="7808E0BC" w14:textId="77777777" w:rsidR="003569CD" w:rsidRDefault="00000000">
            <w:r>
              <w:t>Non-canonical exploratory material, kept separate from framework claims.</w:t>
            </w:r>
          </w:p>
        </w:tc>
      </w:tr>
      <w:tr w:rsidR="003569CD" w14:paraId="20B35653" w14:textId="77777777">
        <w:trPr>
          <w:jc w:val="center"/>
        </w:trPr>
        <w:tc>
          <w:tcPr>
            <w:tcW w:w="1872" w:type="dxa"/>
            <w:vAlign w:val="center"/>
          </w:tcPr>
          <w:p w14:paraId="7EB033CC" w14:textId="77777777" w:rsidR="003569CD" w:rsidRDefault="00000000">
            <w:r>
              <w:t>data/</w:t>
            </w:r>
          </w:p>
        </w:tc>
        <w:tc>
          <w:tcPr>
            <w:tcW w:w="3600" w:type="dxa"/>
            <w:vAlign w:val="center"/>
          </w:tcPr>
          <w:p w14:paraId="48C00E99" w14:textId="77777777" w:rsidR="003569CD" w:rsidRDefault="00000000">
            <w:r>
              <w:t>Curated public sample outputs and replay data</w:t>
            </w:r>
          </w:p>
        </w:tc>
        <w:tc>
          <w:tcPr>
            <w:tcW w:w="4752" w:type="dxa"/>
            <w:vAlign w:val="center"/>
          </w:tcPr>
          <w:p w14:paraId="0AFCD63B" w14:textId="77777777" w:rsidR="003569CD" w:rsidRDefault="00000000">
            <w:r>
              <w:t>Reproducibility and inspection material for the benchmark side of the package.</w:t>
            </w:r>
          </w:p>
        </w:tc>
      </w:tr>
    </w:tbl>
    <w:p w14:paraId="1B036D2B" w14:textId="77777777" w:rsidR="003569CD" w:rsidRDefault="00000000">
      <w:pPr>
        <w:pStyle w:val="Heading1"/>
      </w:pPr>
      <w:r>
        <w:t>How to Navigate the Framework Files</w:t>
      </w:r>
    </w:p>
    <w:p w14:paraId="6D7FDB3E" w14:textId="77777777" w:rsidR="003569CD" w:rsidRDefault="00000000">
      <w:r>
        <w:t>A serious reader should not enter the specification set at random. The files fall into distinct roles, and the reading order should depend on whether the reader wants orientation, architectural understanding, or implementation-level detail.</w:t>
      </w:r>
    </w:p>
    <w:p w14:paraId="5D0AC472" w14:textId="77777777" w:rsidR="003569CD" w:rsidRDefault="00000000">
      <w:pPr>
        <w:pStyle w:val="Heading2"/>
      </w:pPr>
      <w:r>
        <w:t>Recommended Reading Path</w:t>
      </w:r>
    </w:p>
    <w:p w14:paraId="011F2B0D" w14:textId="77777777" w:rsidR="003569CD" w:rsidRDefault="00000000">
      <w:pPr>
        <w:pStyle w:val="Heading3"/>
      </w:pPr>
      <w:r>
        <w:t>1. Entry orientation</w:t>
      </w:r>
    </w:p>
    <w:p w14:paraId="23C338D6" w14:textId="77777777" w:rsidR="003569CD" w:rsidRDefault="00000000">
      <w:pPr>
        <w:pStyle w:val="ListBullet"/>
      </w:pPr>
      <w:r>
        <w:t>This executive overview.</w:t>
      </w:r>
    </w:p>
    <w:p w14:paraId="13683C8B" w14:textId="77777777" w:rsidR="003569CD" w:rsidRDefault="00000000">
      <w:pPr>
        <w:pStyle w:val="ListBullet"/>
      </w:pPr>
      <w:r>
        <w:t>The framework note or framework-facing README inside the framework folder.</w:t>
      </w:r>
    </w:p>
    <w:p w14:paraId="20E75476" w14:textId="77777777" w:rsidR="003569CD" w:rsidRDefault="00000000">
      <w:pPr>
        <w:pStyle w:val="Heading3"/>
      </w:pPr>
      <w:r>
        <w:t>2. System-level architecture</w:t>
      </w:r>
    </w:p>
    <w:p w14:paraId="659FF849" w14:textId="77777777" w:rsidR="003569CD" w:rsidRDefault="00000000">
      <w:pPr>
        <w:pStyle w:val="ListBullet"/>
      </w:pPr>
      <w:r>
        <w:t>Layer 1 — Canonical Core Formal System.</w:t>
      </w:r>
    </w:p>
    <w:p w14:paraId="450500AB" w14:textId="77777777" w:rsidR="003569CD" w:rsidRDefault="00000000">
      <w:pPr>
        <w:pStyle w:val="ListBullet"/>
      </w:pPr>
      <w:r>
        <w:t>Core Decision Architecture (V2).</w:t>
      </w:r>
    </w:p>
    <w:p w14:paraId="6BF770D1" w14:textId="77777777" w:rsidR="003569CD" w:rsidRDefault="00000000">
      <w:pPr>
        <w:pStyle w:val="Heading3"/>
      </w:pPr>
      <w:r>
        <w:lastRenderedPageBreak/>
        <w:t>3. Core operator canonicals</w:t>
      </w:r>
    </w:p>
    <w:p w14:paraId="0EAFF3D2" w14:textId="77777777" w:rsidR="003569CD" w:rsidRDefault="00000000">
      <w:pPr>
        <w:pStyle w:val="ListBullet"/>
      </w:pPr>
      <w:r>
        <w:t>Pressure Field Operator Φ.</w:t>
      </w:r>
    </w:p>
    <w:p w14:paraId="0F29765D" w14:textId="77777777" w:rsidR="003569CD" w:rsidRDefault="00000000">
      <w:pPr>
        <w:pStyle w:val="ListBullet"/>
      </w:pPr>
      <w:r>
        <w:t>Collapse Horizon Operator H.</w:t>
      </w:r>
    </w:p>
    <w:p w14:paraId="44AE94AB" w14:textId="77777777" w:rsidR="003569CD" w:rsidRDefault="00000000">
      <w:pPr>
        <w:pStyle w:val="ListBullet"/>
      </w:pPr>
      <w:r>
        <w:t>Constraint System.</w:t>
      </w:r>
    </w:p>
    <w:p w14:paraId="788A3783" w14:textId="77777777" w:rsidR="003569CD" w:rsidRDefault="00000000">
      <w:pPr>
        <w:pStyle w:val="ListBullet"/>
      </w:pPr>
      <w:r>
        <w:t>Regime Classification Operator ℛ.</w:t>
      </w:r>
    </w:p>
    <w:p w14:paraId="6980A329" w14:textId="77777777" w:rsidR="003569CD" w:rsidRDefault="00000000">
      <w:pPr>
        <w:pStyle w:val="ListBullet"/>
      </w:pPr>
      <w:r>
        <w:t>Restoration Adequacy Operator.</w:t>
      </w:r>
    </w:p>
    <w:p w14:paraId="07003E6E" w14:textId="77777777" w:rsidR="003569CD" w:rsidRDefault="00000000">
      <w:pPr>
        <w:pStyle w:val="Heading3"/>
      </w:pPr>
      <w:r>
        <w:t>4. Selection and boundary support</w:t>
      </w:r>
    </w:p>
    <w:p w14:paraId="2F67AFF8" w14:textId="77777777" w:rsidR="003569CD" w:rsidRDefault="00000000">
      <w:pPr>
        <w:pStyle w:val="ListBullet"/>
      </w:pPr>
      <w:r>
        <w:t>Selection Operator Σ and Fallback Structure — Parameterization Addendum.</w:t>
      </w:r>
    </w:p>
    <w:p w14:paraId="37D684CD" w14:textId="77777777" w:rsidR="003569CD" w:rsidRDefault="00000000">
      <w:pPr>
        <w:pStyle w:val="ListBullet"/>
      </w:pPr>
      <w:r>
        <w:t>Viability Domain Framing Rule.</w:t>
      </w:r>
    </w:p>
    <w:p w14:paraId="3BB17FCB" w14:textId="77777777" w:rsidR="003569CD" w:rsidRDefault="00000000">
      <w:pPr>
        <w:pStyle w:val="ListBullet"/>
      </w:pPr>
      <w:r>
        <w:t>Governing-Critical Structure &amp; Exit Policy Inclusion.</w:t>
      </w:r>
    </w:p>
    <w:p w14:paraId="238067FD" w14:textId="77777777" w:rsidR="003569CD" w:rsidRDefault="00000000">
      <w:pPr>
        <w:pStyle w:val="Heading3"/>
      </w:pPr>
      <w:r>
        <w:t>5. Policy-space construction and validation</w:t>
      </w:r>
    </w:p>
    <w:p w14:paraId="10221534" w14:textId="77777777" w:rsidR="003569CD" w:rsidRDefault="00000000">
      <w:pPr>
        <w:pStyle w:val="ListBullet"/>
      </w:pPr>
      <w:r>
        <w:t>Instance–Transformation Graph Layer.</w:t>
      </w:r>
    </w:p>
    <w:p w14:paraId="06941987" w14:textId="77777777" w:rsidR="003569CD" w:rsidRDefault="00000000">
      <w:pPr>
        <w:pStyle w:val="ListBullet"/>
      </w:pPr>
      <w:r>
        <w:t>Graph Construction Protocol.</w:t>
      </w:r>
    </w:p>
    <w:p w14:paraId="7AA3F4E8" w14:textId="77777777" w:rsidR="003569CD" w:rsidRDefault="00000000">
      <w:pPr>
        <w:pStyle w:val="ListBullet"/>
      </w:pPr>
      <w:r>
        <w:t>Policy Structural Equivalence &amp; Seed Reduction Criteria.</w:t>
      </w:r>
    </w:p>
    <w:p w14:paraId="7EF75034" w14:textId="77777777" w:rsidR="003569CD" w:rsidRDefault="00000000">
      <w:pPr>
        <w:pStyle w:val="ListBullet"/>
      </w:pPr>
      <w:r>
        <w:t>Π Completeness Validation Rule.</w:t>
      </w:r>
    </w:p>
    <w:p w14:paraId="70CCD8B1" w14:textId="77777777" w:rsidR="003569CD" w:rsidRDefault="00000000">
      <w:pPr>
        <w:pStyle w:val="Heading3"/>
      </w:pPr>
      <w:r>
        <w:t>6. Testing and audit materials, where included</w:t>
      </w:r>
    </w:p>
    <w:p w14:paraId="7DA1FD9A" w14:textId="77777777" w:rsidR="003569CD" w:rsidRDefault="00000000">
      <w:pPr>
        <w:pStyle w:val="ListBullet"/>
      </w:pPr>
      <w:r>
        <w:t>Use these after the architectural set, not before it. They show how the framework has been stress-tested or executed, but they are not the right first entry point.</w:t>
      </w:r>
    </w:p>
    <w:p w14:paraId="4A8AEE29" w14:textId="77777777" w:rsidR="003569CD" w:rsidRDefault="00000000">
      <w:pPr>
        <w:pStyle w:val="Heading2"/>
      </w:pPr>
      <w:r>
        <w:t>What the Main Specification Files Are For</w:t>
      </w:r>
    </w:p>
    <w:tbl>
      <w:tblPr>
        <w:tblStyle w:val="TableGrid"/>
        <w:tblW w:w="0" w:type="auto"/>
        <w:jc w:val="center"/>
        <w:tblLook w:val="04A0" w:firstRow="1" w:lastRow="0" w:firstColumn="1" w:lastColumn="0" w:noHBand="0" w:noVBand="1"/>
      </w:tblPr>
      <w:tblGrid>
        <w:gridCol w:w="3264"/>
        <w:gridCol w:w="3264"/>
        <w:gridCol w:w="3264"/>
      </w:tblGrid>
      <w:tr w:rsidR="003569CD" w14:paraId="050B5334" w14:textId="77777777">
        <w:trPr>
          <w:tblHeader/>
          <w:jc w:val="center"/>
        </w:trPr>
        <w:tc>
          <w:tcPr>
            <w:tcW w:w="3264" w:type="dxa"/>
            <w:shd w:val="clear" w:color="auto" w:fill="BFD7EE"/>
          </w:tcPr>
          <w:p w14:paraId="4EDF866B" w14:textId="77777777" w:rsidR="003569CD" w:rsidRDefault="00000000">
            <w:r>
              <w:t>File family</w:t>
            </w:r>
          </w:p>
        </w:tc>
        <w:tc>
          <w:tcPr>
            <w:tcW w:w="3264" w:type="dxa"/>
            <w:shd w:val="clear" w:color="auto" w:fill="BFD7EE"/>
          </w:tcPr>
          <w:p w14:paraId="70348372" w14:textId="77777777" w:rsidR="003569CD" w:rsidRDefault="00000000">
            <w:r>
              <w:t>What it contains</w:t>
            </w:r>
          </w:p>
        </w:tc>
        <w:tc>
          <w:tcPr>
            <w:tcW w:w="3264" w:type="dxa"/>
            <w:shd w:val="clear" w:color="auto" w:fill="BFD7EE"/>
          </w:tcPr>
          <w:p w14:paraId="29A39EAE" w14:textId="77777777" w:rsidR="003569CD" w:rsidRDefault="00000000">
            <w:r>
              <w:t>When to read it</w:t>
            </w:r>
          </w:p>
        </w:tc>
      </w:tr>
      <w:tr w:rsidR="003569CD" w14:paraId="7A5F060C" w14:textId="77777777">
        <w:trPr>
          <w:jc w:val="center"/>
        </w:trPr>
        <w:tc>
          <w:tcPr>
            <w:tcW w:w="3264" w:type="dxa"/>
            <w:vAlign w:val="center"/>
          </w:tcPr>
          <w:p w14:paraId="1E83AB23" w14:textId="77777777" w:rsidR="003569CD" w:rsidRDefault="00000000">
            <w:r>
              <w:t>Layer 1 core</w:t>
            </w:r>
          </w:p>
        </w:tc>
        <w:tc>
          <w:tcPr>
            <w:tcW w:w="3264" w:type="dxa"/>
            <w:vAlign w:val="center"/>
          </w:tcPr>
          <w:p w14:paraId="3C492EDD" w14:textId="77777777" w:rsidR="003569CD" w:rsidRDefault="00000000">
            <w:r>
              <w:t>Formal substrate for state, transition, projection, reachability, and viability.</w:t>
            </w:r>
          </w:p>
        </w:tc>
        <w:tc>
          <w:tcPr>
            <w:tcW w:w="3264" w:type="dxa"/>
            <w:vAlign w:val="center"/>
          </w:tcPr>
          <w:p w14:paraId="5E97A342" w14:textId="77777777" w:rsidR="003569CD" w:rsidRDefault="00000000">
            <w:r>
              <w:t>Read early if you want the ontological base of the framework.</w:t>
            </w:r>
          </w:p>
        </w:tc>
      </w:tr>
      <w:tr w:rsidR="003569CD" w14:paraId="4B7BC332" w14:textId="77777777">
        <w:trPr>
          <w:jc w:val="center"/>
        </w:trPr>
        <w:tc>
          <w:tcPr>
            <w:tcW w:w="3264" w:type="dxa"/>
            <w:vAlign w:val="center"/>
          </w:tcPr>
          <w:p w14:paraId="2A77E9DB" w14:textId="77777777" w:rsidR="003569CD" w:rsidRDefault="00000000">
            <w:r>
              <w:t>Core architecture</w:t>
            </w:r>
          </w:p>
        </w:tc>
        <w:tc>
          <w:tcPr>
            <w:tcW w:w="3264" w:type="dxa"/>
            <w:vAlign w:val="center"/>
          </w:tcPr>
          <w:p w14:paraId="555334D3" w14:textId="77777777" w:rsidR="003569CD" w:rsidRDefault="00000000">
            <w:r>
              <w:t>The high-level Layer 2 operator sequence and boundary rules.</w:t>
            </w:r>
          </w:p>
        </w:tc>
        <w:tc>
          <w:tcPr>
            <w:tcW w:w="3264" w:type="dxa"/>
            <w:vAlign w:val="center"/>
          </w:tcPr>
          <w:p w14:paraId="741E5A51" w14:textId="77777777" w:rsidR="003569CD" w:rsidRDefault="00000000">
            <w:r>
              <w:t>Read immediately after orientation.</w:t>
            </w:r>
          </w:p>
        </w:tc>
      </w:tr>
      <w:tr w:rsidR="003569CD" w14:paraId="54BED991" w14:textId="77777777">
        <w:trPr>
          <w:jc w:val="center"/>
        </w:trPr>
        <w:tc>
          <w:tcPr>
            <w:tcW w:w="3264" w:type="dxa"/>
            <w:vAlign w:val="center"/>
          </w:tcPr>
          <w:p w14:paraId="65FC330C" w14:textId="77777777" w:rsidR="003569CD" w:rsidRDefault="00000000">
            <w:r>
              <w:t>Canonical operator specifications</w:t>
            </w:r>
          </w:p>
        </w:tc>
        <w:tc>
          <w:tcPr>
            <w:tcW w:w="3264" w:type="dxa"/>
            <w:vAlign w:val="center"/>
          </w:tcPr>
          <w:p w14:paraId="173F440E" w14:textId="77777777" w:rsidR="003569CD" w:rsidRDefault="00000000">
            <w:r>
              <w:t>Formal statements of the main operators and their role boundaries.</w:t>
            </w:r>
          </w:p>
        </w:tc>
        <w:tc>
          <w:tcPr>
            <w:tcW w:w="3264" w:type="dxa"/>
            <w:vAlign w:val="center"/>
          </w:tcPr>
          <w:p w14:paraId="712287C1" w14:textId="77777777" w:rsidR="003569CD" w:rsidRDefault="00000000">
            <w:r>
              <w:t>Read when moving from overview to exact architecture.</w:t>
            </w:r>
          </w:p>
        </w:tc>
      </w:tr>
      <w:tr w:rsidR="003569CD" w14:paraId="08EFD16A" w14:textId="77777777">
        <w:trPr>
          <w:jc w:val="center"/>
        </w:trPr>
        <w:tc>
          <w:tcPr>
            <w:tcW w:w="3264" w:type="dxa"/>
            <w:vAlign w:val="center"/>
          </w:tcPr>
          <w:p w14:paraId="38AD8371" w14:textId="77777777" w:rsidR="003569CD" w:rsidRDefault="00000000">
            <w:r>
              <w:t>Supporting specifications</w:t>
            </w:r>
          </w:p>
        </w:tc>
        <w:tc>
          <w:tcPr>
            <w:tcW w:w="3264" w:type="dxa"/>
            <w:vAlign w:val="center"/>
          </w:tcPr>
          <w:p w14:paraId="739851E0" w14:textId="77777777" w:rsidR="003569CD" w:rsidRDefault="00000000">
            <w:r>
              <w:t>Rules that stabilize framing, criticality, policy-space construction, completeness, and reduction.</w:t>
            </w:r>
          </w:p>
        </w:tc>
        <w:tc>
          <w:tcPr>
            <w:tcW w:w="3264" w:type="dxa"/>
            <w:vAlign w:val="center"/>
          </w:tcPr>
          <w:p w14:paraId="3589F7AF" w14:textId="77777777" w:rsidR="003569CD" w:rsidRDefault="00000000">
            <w:r>
              <w:t>Read when you want implementation or edge-case discipline.</w:t>
            </w:r>
          </w:p>
        </w:tc>
      </w:tr>
      <w:tr w:rsidR="003569CD" w14:paraId="638CFFDE" w14:textId="77777777">
        <w:trPr>
          <w:jc w:val="center"/>
        </w:trPr>
        <w:tc>
          <w:tcPr>
            <w:tcW w:w="3264" w:type="dxa"/>
            <w:vAlign w:val="center"/>
          </w:tcPr>
          <w:p w14:paraId="73418501" w14:textId="77777777" w:rsidR="003569CD" w:rsidRDefault="00000000">
            <w:r>
              <w:t>Testing / audit materials</w:t>
            </w:r>
          </w:p>
        </w:tc>
        <w:tc>
          <w:tcPr>
            <w:tcW w:w="3264" w:type="dxa"/>
            <w:vAlign w:val="center"/>
          </w:tcPr>
          <w:p w14:paraId="33986BBA" w14:textId="77777777" w:rsidR="003569CD" w:rsidRDefault="00000000">
            <w:r>
              <w:t>Stress tests, live traces, and validation artifacts.</w:t>
            </w:r>
          </w:p>
        </w:tc>
        <w:tc>
          <w:tcPr>
            <w:tcW w:w="3264" w:type="dxa"/>
            <w:vAlign w:val="center"/>
          </w:tcPr>
          <w:p w14:paraId="79699BDA" w14:textId="77777777" w:rsidR="003569CD" w:rsidRDefault="00000000">
            <w:r>
              <w:t>Read after the architecture if you want evidence of hardening or operational discipline.</w:t>
            </w:r>
          </w:p>
        </w:tc>
      </w:tr>
    </w:tbl>
    <w:p w14:paraId="3340C349" w14:textId="77777777" w:rsidR="003569CD" w:rsidRDefault="00000000">
      <w:pPr>
        <w:pStyle w:val="Heading1"/>
      </w:pPr>
      <w:r>
        <w:t>For Readers Who Want to Implement Against the Framework</w:t>
      </w:r>
    </w:p>
    <w:p w14:paraId="5690A6FA" w14:textId="77777777" w:rsidR="003569CD" w:rsidRDefault="00000000">
      <w:pPr>
        <w:spacing w:after="160"/>
      </w:pPr>
      <w:r>
        <w:t>A serious implementation effort should not begin from the benchmark code alone. It should begin from the architecture documents, because the code can only instantiate what the framework already licenses.</w:t>
      </w:r>
    </w:p>
    <w:p w14:paraId="0662AE66" w14:textId="77777777" w:rsidR="003569CD" w:rsidRDefault="00000000">
      <w:pPr>
        <w:spacing w:after="160"/>
      </w:pPr>
      <w:r>
        <w:lastRenderedPageBreak/>
        <w:t>At minimum, an implementer needs the Layer 1 core, the Core Decision Architecture, the operator canonicals, the framing and adequacy rules, and the policy-space construction and completeness materials. Without those, the implementation will drift into intuition or ad hoc local patches.</w:t>
      </w:r>
    </w:p>
    <w:p w14:paraId="12C92FE9" w14:textId="77777777" w:rsidR="003569CD" w:rsidRDefault="00000000">
      <w:pPr>
        <w:spacing w:after="160"/>
      </w:pPr>
      <w:r>
        <w:t>The graph-layer and completeness files matter especially for implementation because they explain how bounded policy construction can remain structurally disciplined without pretending to exhaustive search.</w:t>
      </w:r>
    </w:p>
    <w:p w14:paraId="4B3FC19B" w14:textId="77777777" w:rsidR="003569CD" w:rsidRDefault="00000000">
      <w:pPr>
        <w:pStyle w:val="Heading1"/>
      </w:pPr>
      <w:r>
        <w:t>What This Overview Does Not Attempt</w:t>
      </w:r>
    </w:p>
    <w:p w14:paraId="67F3277B" w14:textId="77777777" w:rsidR="003569CD" w:rsidRDefault="00000000">
      <w:pPr>
        <w:pStyle w:val="ListBullet"/>
      </w:pPr>
      <w:r>
        <w:t>It does not replace the canonical specifications.</w:t>
      </w:r>
    </w:p>
    <w:p w14:paraId="763E8128" w14:textId="77777777" w:rsidR="003569CD" w:rsidRDefault="00000000">
      <w:pPr>
        <w:pStyle w:val="ListBullet"/>
      </w:pPr>
      <w:r>
        <w:t>It does not provide a complete formal proof of the framework.</w:t>
      </w:r>
    </w:p>
    <w:p w14:paraId="56EDD5D0" w14:textId="77777777" w:rsidR="003569CD" w:rsidRDefault="00000000">
      <w:pPr>
        <w:pStyle w:val="ListBullet"/>
      </w:pPr>
      <w:r>
        <w:t>It does not reopen the separate scalar-reduction workstream.</w:t>
      </w:r>
    </w:p>
    <w:p w14:paraId="7D30772F" w14:textId="77777777" w:rsidR="003569CD" w:rsidRDefault="00000000">
      <w:pPr>
        <w:pStyle w:val="ListBullet"/>
      </w:pPr>
      <w:r>
        <w:t>It does not present benchmark results or benchmark claims.</w:t>
      </w:r>
    </w:p>
    <w:p w14:paraId="4759321F" w14:textId="77777777" w:rsidR="003569CD" w:rsidRDefault="00000000">
      <w:pPr>
        <w:pStyle w:val="Heading1"/>
      </w:pPr>
      <w:r>
        <w:t>Summary</w:t>
      </w:r>
    </w:p>
    <w:p w14:paraId="43E4A641" w14:textId="77777777" w:rsidR="003569CD" w:rsidRDefault="00000000">
      <w:pPr>
        <w:spacing w:after="160"/>
      </w:pPr>
      <w:r>
        <w:t>PV–PP should be understood as a general formal architecture of viability and action that includes, but is not limited to, a decision framework. Its public release therefore requires more than isolated operator files. It requires a clear top-entry explanation, a coherent repository layout, and an explicit reading path from overview to formal specification to implementation-relevant detail.</w:t>
      </w:r>
      <w:r>
        <w:br/>
      </w:r>
      <w:r>
        <w:br/>
        <w:t>That is the role of this document. It gives the executive architectural picture, states the full current stack, and shows how the repository is meant to be navigated.</w:t>
      </w:r>
    </w:p>
    <w:sectPr w:rsidR="003569CD"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657702">
    <w:abstractNumId w:val="8"/>
  </w:num>
  <w:num w:numId="2" w16cid:durableId="1587763192">
    <w:abstractNumId w:val="6"/>
  </w:num>
  <w:num w:numId="3" w16cid:durableId="1220483977">
    <w:abstractNumId w:val="5"/>
  </w:num>
  <w:num w:numId="4" w16cid:durableId="1998415333">
    <w:abstractNumId w:val="4"/>
  </w:num>
  <w:num w:numId="5" w16cid:durableId="1175077282">
    <w:abstractNumId w:val="7"/>
  </w:num>
  <w:num w:numId="6" w16cid:durableId="211036635">
    <w:abstractNumId w:val="3"/>
  </w:num>
  <w:num w:numId="7" w16cid:durableId="503201754">
    <w:abstractNumId w:val="2"/>
  </w:num>
  <w:num w:numId="8" w16cid:durableId="1292323785">
    <w:abstractNumId w:val="1"/>
  </w:num>
  <w:num w:numId="9" w16cid:durableId="83304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9CD"/>
    <w:rsid w:val="008B4CEA"/>
    <w:rsid w:val="00AA1D8D"/>
    <w:rsid w:val="00B47730"/>
    <w:rsid w:val="00CB0664"/>
    <w:rsid w:val="00E84CEC"/>
    <w:rsid w:val="00EF13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BDAE7"/>
  <w14:defaultImageDpi w14:val="300"/>
  <w15:docId w15:val="{F6776A80-678C-7F42-84BE-ECF0D817B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7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1549</Words>
  <Characters>9605</Characters>
  <Application>Microsoft Office Word</Application>
  <DocSecurity>0</DocSecurity>
  <Lines>274</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Lance Amundsen</cp:lastModifiedBy>
  <cp:revision>3</cp:revision>
  <dcterms:created xsi:type="dcterms:W3CDTF">2013-12-23T23:15:00Z</dcterms:created>
  <dcterms:modified xsi:type="dcterms:W3CDTF">2026-04-02T02:56:00Z</dcterms:modified>
  <cp:category/>
</cp:coreProperties>
</file>