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PV–PP Framework Benchmark Note</w:t>
      </w:r>
    </w:p>
    <w:p>
      <w:pPr>
        <w:jc w:val="center"/>
      </w:pPr>
      <w:r>
        <w:rPr>
          <w:i/>
          <w:sz w:val="21"/>
        </w:rPr>
        <w:t>Repository-facing bridge document for the grenade self-sacrifice benchmark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2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Purpose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Provide the minimum PV–PP framework context needed to interpret the grenade benchmark correctly.</w:t>
            </w:r>
          </w:p>
        </w:tc>
      </w:tr>
      <w:tr>
        <w:tc>
          <w:tcPr>
            <w:tcW w:type="dxa" w:w="482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Repository role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Bridge from benchmark-facing documents to the broader framework set.</w:t>
            </w:r>
          </w:p>
        </w:tc>
      </w:tr>
      <w:tr>
        <w:tc>
          <w:tcPr>
            <w:tcW w:type="dxa" w:w="482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Primary audience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Readers who want to understand what the benchmark means without opening the full architecture first.</w:t>
            </w:r>
          </w:p>
        </w:tc>
      </w:tr>
      <w:tr>
        <w:tc>
          <w:tcPr>
            <w:tcW w:type="dxa" w:w="482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Not this document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Not a full framework specification, not theorem closure, and not a substitute for the canonical operator files.</w:t>
            </w:r>
          </w:p>
        </w:tc>
      </w:tr>
    </w:tbl>
    <w:p/>
    <w:p>
      <w:pPr>
        <w:pStyle w:val="Heading1"/>
      </w:pPr>
      <w:r>
        <w:t>Purpose</w:t>
      </w:r>
    </w:p>
    <w:p>
      <w:r>
        <w:t>This document gives the minimum framework context required to interpret the grenade self-sacrifice benchmark without overstating what the benchmark proves.</w:t>
      </w:r>
    </w:p>
    <w:p>
      <w:r>
        <w:t>It is the transition document between the benchmark package and the broader PV–PP framework files. Its job is orientation, not full formal exposition.</w:t>
      </w:r>
    </w:p>
    <w:p>
      <w:pPr>
        <w:pStyle w:val="Heading1"/>
      </w:pPr>
      <w:r>
        <w:t>What this note has to do</w:t>
      </w:r>
    </w:p>
    <w:p>
      <w:pPr>
        <w:pStyle w:val="ListBullet"/>
      </w:pPr>
      <w:r>
        <w:t>This note needs to do three things cleanly:</w:t>
      </w:r>
    </w:p>
    <w:p>
      <w:pPr>
        <w:pStyle w:val="ListBullet"/>
      </w:pPr>
      <w:r>
        <w:t>state what the benchmark is actually demonstrating,</w:t>
      </w:r>
    </w:p>
    <w:p>
      <w:pPr>
        <w:pStyle w:val="ListBullet"/>
      </w:pPr>
      <w:r>
        <w:t>identify the architectural basis that makes that behavior intelligible, and</w:t>
      </w:r>
    </w:p>
    <w:p>
      <w:pPr>
        <w:pStyle w:val="ListBullet"/>
      </w:pPr>
      <w:r>
        <w:t>direct the reader to the next framework documents in the right order.</w:t>
      </w:r>
    </w:p>
    <w:p>
      <w:pPr>
        <w:pStyle w:val="Heading1"/>
      </w:pPr>
      <w:r>
        <w:t>What the benchmark is showing</w:t>
      </w:r>
    </w:p>
    <w:p>
      <w:r>
        <w:t>The benchmark compares two decision architectures in the same simulated environment: a PV–PP implementation and a self-preserving scalar baseline.</w:t>
      </w:r>
    </w:p>
    <w:p>
      <w:r>
        <w:t>The environment, movement constraints, terrain, cover, extraction geometry, background fire, grenade process, and burden mechanics are shared. The difference is therefore architectural rather than environmental.</w:t>
      </w:r>
    </w:p>
    <w:p>
      <w:r>
        <w:t>The narrow result is not “PV–PP can do something magical.” The narrower and correct claim is that under compressed governing-critical grenade conditions, PV–PP can admit direct sacrificial protection of the recoveree without relying on scalar aggregation as the governing decision rule.</w:t>
      </w:r>
    </w:p>
    <w:p>
      <w:pPr>
        <w:pStyle w:val="Heading1"/>
      </w:pPr>
      <w:r>
        <w:t>What this does not establish</w:t>
      </w:r>
    </w:p>
    <w:p>
      <w:pPr>
        <w:pStyle w:val="ListBullet"/>
      </w:pPr>
      <w:r>
        <w:t>This benchmark does not show that scalar models in general cannot represent sacrifice.</w:t>
      </w:r>
    </w:p>
    <w:p>
      <w:pPr>
        <w:pStyle w:val="ListBullet"/>
      </w:pPr>
      <w:r>
        <w:t>It does not prove the full PV–PP framework.</w:t>
      </w:r>
    </w:p>
    <w:p>
      <w:pPr>
        <w:pStyle w:val="ListBullet"/>
      </w:pPr>
      <w:r>
        <w:t>It does not settle scalar-reduction or theorem-closure questions.</w:t>
      </w:r>
    </w:p>
    <w:p>
      <w:pPr>
        <w:pStyle w:val="ListBullet"/>
      </w:pPr>
      <w:r>
        <w:t>It does not show that every source of divergence is perfectly isolated to a single implementation mechanism, even if center-square sacrificial smothering is the principal discrimination point.</w:t>
      </w:r>
    </w:p>
    <w:p>
      <w:pPr>
        <w:pStyle w:val="Heading1"/>
      </w:pPr>
      <w:r>
        <w:t>Minimal PV–PP architecture needed to read the benchmark</w:t>
      </w:r>
    </w:p>
    <w:p>
      <w:r>
        <w:t>The benchmark only makes sense if the reader understands the framework at a minimal structural level.</w:t>
      </w:r>
    </w:p>
    <w:p>
      <w:r>
        <w:t>Layer 1 supplies the persistence and transition substrate: structured state, viability, threshold breach, and reachable evolution.</w:t>
      </w:r>
    </w:p>
    <w:p>
      <w:r>
        <w:t>Layer 2 supplies the decision architecture that interprets perceived state, builds the governing decision problem, filters candidate actions, and selects an executable policy.</w:t>
      </w:r>
    </w:p>
    <w:p>
      <w:pPr>
        <w:pStyle w:val="Heading2"/>
      </w:pPr>
      <w:r>
        <w:t>Condensed operator flow</w:t>
      </w:r>
    </w:p>
    <w:p>
      <w:pPr/>
      <w:r>
        <w:t>The repository benchmark note must use the current Layer 2 architecture rather than an older compressed pipeline.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2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PPP → Φ → H → G → ℛ → Graph Layer / seed substrate → Π → Π completeness validation → Constraints → Domain Framing → Adequacy → Σ → ε</w:t>
            </w:r>
          </w:p>
        </w:tc>
      </w:tr>
      <w:tr>
        <w:tc>
          <w:tcPr>
            <w:tcW w:type="dxa" w:w="9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t>Why this matters: the benchmark is interpretable only if sacrificial action is read as the downstream consequence of an upstream non-scalar preservation architecture, not as a hard-coded special move.</w:t>
            </w:r>
          </w:p>
        </w:tc>
      </w:tr>
    </w:tbl>
    <w:p/>
    <w:p>
      <w:pPr>
        <w:pStyle w:val="Heading1"/>
      </w:pPr>
      <w:r>
        <w:t>Why the framework files are in the repository</w:t>
      </w:r>
    </w:p>
    <w:p>
      <w:r>
        <w:t>The framework materials are included so the benchmark can be read as a disciplined instantiation rather than a behavioral trick or code artifact.</w:t>
      </w:r>
    </w:p>
    <w:p>
      <w:r>
        <w:t>At minimum, they provide the persistence substrate, the decision architecture, and the supporting operator boundaries needed to explain why sacrificial protection appears in some states and not in others.</w:t>
      </w:r>
    </w:p>
    <w:p>
      <w:r>
        <w:t>That inclusion does not mean the repository is the complete or final framework archive. It means the repository contains enough of the framework to make the benchmark intelligible and reviewable.</w:t>
      </w:r>
    </w:p>
    <w:p>
      <w:pPr>
        <w:pStyle w:val="Heading1"/>
      </w:pPr>
      <w:r>
        <w:t>How the benchmark connects back to framework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82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Benchmark-facing point</w:t>
            </w:r>
          </w:p>
        </w:tc>
        <w:tc>
          <w:tcPr>
            <w:tcW w:type="dxa" w:w="482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Minimum framework reading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Shared environment, different behavior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divergence is read as architectural because environment and mechanics are matched across models.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Sacrifice appears only in narrow cases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PV–PP does not treat sacrifice as globally desirable; it can become admissible only when the governing preservation structure makes it the only adequate preserving policy.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Easy-case convergence matters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benchmark is stronger because PV–PP does not diverge everywhere. Convergence in easy cases is part of the architecture-facing story.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Hard-case divergence matters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Moderate and difficult workloads are where the governing structure becomes compressed enough for the non-scalar difference to become visible.</w:t>
            </w:r>
          </w:p>
        </w:tc>
      </w:tr>
    </w:tbl>
    <w:p/>
    <w:p>
      <w:pPr>
        <w:pStyle w:val="Heading1"/>
      </w:pPr>
      <w:r>
        <w:t>Recommended reading order inside the repository</w:t>
      </w:r>
    </w:p>
    <w:p>
      <w:pPr>
        <w:pStyle w:val="ListNumber"/>
      </w:pPr>
      <w:r>
        <w:t>Read the repository executive overview / guide first.</w:t>
      </w:r>
    </w:p>
    <w:p>
      <w:pPr>
        <w:pStyle w:val="ListNumber"/>
      </w:pPr>
      <w:r>
        <w:t>Then read the benchmark specification, benchmark results, limitations, and this benchmark note as one package.</w:t>
      </w:r>
    </w:p>
    <w:p>
      <w:pPr>
        <w:pStyle w:val="ListNumber"/>
      </w:pPr>
      <w:r>
        <w:t>Then move to the Core Decision Architecture document and the Layer 1 Core Formal System.</w:t>
      </w:r>
    </w:p>
    <w:p>
      <w:pPr>
        <w:pStyle w:val="ListNumber"/>
      </w:pPr>
      <w:r>
        <w:t>Then inspect the operator-level files most relevant to benchmark interpretation: Φ, H, G, ℛ, Constraints, Domain Framing, Adequacy, and Σ.</w:t>
      </w:r>
    </w:p>
    <w:p>
      <w:pPr>
        <w:pStyle w:val="Heading1"/>
      </w:pPr>
      <w:r>
        <w:t>Bottom line</w:t>
      </w:r>
    </w:p>
    <w:p>
      <w:r>
        <w:t>This note is a bridge document. It exists to keep readers from misreading the grenade benchmark as either a standalone stunt or a proof of the whole framework.</w:t>
      </w:r>
    </w:p>
    <w:p>
      <w:r>
        <w:t>The correct reading is narrower: the benchmark is one repository-facing demonstration that a structured non-scalar preservation architecture can generate a distinctive rescue-and-sacrifice pattern in a matched environment without requiring scalar aggregation as the governing decision rule.</w:t>
      </w:r>
    </w:p>
    <w:p>
      <w:r>
        <w:t>Readers who need the full architecture should leave this note quickly and move into the core framework documents.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