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Compact Architecture Skeleton</w:t>
      </w:r>
    </w:p>
    <w:p>
      <w:pPr>
        <w:jc w:val="center"/>
      </w:pPr>
      <w:r>
        <w:rPr>
          <w:b/>
        </w:rPr>
        <w:t>Version 2.1 - Current Supporting Summary v1.0</w:t>
      </w:r>
    </w:p>
    <w:p>
      <w:pPr>
        <w:jc w:val="center"/>
      </w:pPr>
      <w:r>
        <w:t>Framework Version 2.1 | Runtime reference: frozen v0.141 | September 2026</w:t>
      </w:r>
    </w:p>
    <w:p>
      <w:r>
        <w:t>Status and authority: Current supporting orientation document. This skeleton shows the whole PV-PP architecture at compact scale. It does not own operator internals, create primitives, alter the canonical Layer-2 sequence, or supersede Framework Version 2.1 owner specifications. Runtime statements describe frozen Runtime V2.1 v0.141 and do not expand its implemented capabilities.</w:t>
      </w:r>
    </w:p>
    <w:p>
      <w:pPr>
        <w:pStyle w:val="Heading1"/>
      </w:pPr>
      <w:r>
        <w:t>1. Actual Persistent State</w:t>
      </w:r>
    </w:p>
    <w:p>
      <w:pPr>
        <w:jc w:val="center"/>
      </w:pPr>
      <w:r>
        <w:rPr>
          <w:b/>
        </w:rPr>
        <w:t>S_i(t) = { PP_i(t), SPV_i(t), AVS_i(t), X_i(t), ... }</w:t>
      </w:r>
    </w:p>
    <w:p>
      <w:r>
        <w:t>Actual state S_i(t) is the modeled state that presently exists for actor or entity i. Productive Power PP_i(t) is actual capability; Stored Productive Value SPV_i(t) is retained realized value; AVS_i(t) is actual viability state; X_i(t) represents other typed context required by the model. PP is not the whole state, and raw holdings, resources, obligations, institutional standing, environmental conditions, or other material variables should not be collapsed into PP merely because they affect capability.</w:t>
      </w:r>
    </w:p>
    <w:p>
      <w:r>
        <w:t>Transition-relevant state sufficiency requires the modeled current state to contain or reference every presently material consequence capable of changing modeled transition structure, reachability, policy construction, execution, or governance for the declared purpose and admissible context. Complete causal history is not required to remain live state.</w:t>
      </w:r>
    </w:p>
    <w:p>
      <w:pPr>
        <w:pStyle w:val="Heading1"/>
      </w:pPr>
      <w:r>
        <w:t>2. Perceived Decision State</w:t>
      </w:r>
    </w:p>
    <w:p>
      <w:pPr>
        <w:jc w:val="center"/>
      </w:pPr>
      <w:r>
        <w:rPr>
          <w:b/>
        </w:rPr>
        <w:t>P_i(t) = decision-time representation of relevant state</w:t>
      </w:r>
    </w:p>
    <w:p>
      <w:r>
        <w:t>P_i(t) is broader than Perceived Productive Power. It may be formed from observation, retrieved memory or evidence, expectation/model state, confidence and uncertainty, bounded attention, and other licensed informational inputs. PPP_i(t) and perceived viability may appear inside P_i(t), but P_i(t) is not synonymous with either.</w:t>
      </w:r>
    </w:p>
    <w:p>
      <w:r>
        <w:t>Actual state and perceived state may diverge. The framework preserves that divergence rather than silently substituting perceived conditions for actual capability or actual viability.</w:t>
      </w:r>
    </w:p>
    <w:p>
      <w:pPr>
        <w:pStyle w:val="Heading1"/>
      </w:pPr>
      <w:r>
        <w:t>3. Actor Purpose and Objective Interface</w:t>
      </w:r>
    </w:p>
    <w:p>
      <w:pPr>
        <w:jc w:val="center"/>
      </w:pPr>
      <w:r>
        <w:rPr>
          <w:b/>
        </w:rPr>
        <w:t>O_i(t) = current actor/application-supplied objective set</w:t>
      </w:r>
    </w:p>
    <w:p>
      <w:r>
        <w:t>Framework Version 2.1 carries O_i(t) adjacent to P_i(t). Objectives can describe what the actor is trying to achieve, preserve, prevent, recover, or develop. P_i(t) and O_i(t) may change independently.</w:t>
      </w:r>
    </w:p>
    <w:p>
      <w:pPr>
        <w:pStyle w:val="ListBullet"/>
      </w:pPr>
      <w:r>
        <w:t>O_i(t) is not part of actual persistent state merely because an objective exists.</w:t>
      </w:r>
    </w:p>
    <w:p>
      <w:pPr>
        <w:pStyle w:val="ListBullet"/>
      </w:pPr>
      <w:r>
        <w:t>O_i(t) is not hidden inside P_i(t).</w:t>
      </w:r>
    </w:p>
    <w:p>
      <w:pPr>
        <w:pStyle w:val="ListBullet"/>
      </w:pPr>
      <w:r>
        <w:t>An objective is not a utility function, selector, authority source, adequacy override, viability condition, or Productive Power.</w:t>
      </w:r>
    </w:p>
    <w:p>
      <w:pPr>
        <w:pStyle w:val="ListBullet"/>
      </w:pPr>
      <w:r>
        <w:t>Conflicting objectives may coexist without the framework inventing weights or priority.</w:t>
      </w:r>
    </w:p>
    <w:p>
      <w:pPr>
        <w:pStyle w:val="ListBullet"/>
      </w:pPr>
      <w:r>
        <w:t>Capability-development objectives do not create future capability. Desired capability becomes current PP only after a realized and evidenced capability/state transition.</w:t>
      </w:r>
    </w:p>
    <w:p>
      <w:pPr>
        <w:pStyle w:val="Heading1"/>
      </w:pPr>
      <w:r>
        <w:t>4. Canonical Decision Stack</w:t>
      </w:r>
    </w:p>
    <w:p>
      <w:pPr>
        <w:jc w:val="center"/>
      </w:pPr>
      <w:r>
        <w:rPr>
          <w:b/>
        </w:rPr>
        <w:t>(P_i(t), O_i(t)) -&gt; Phi -&gt; H -&gt; G -&gt; R -&gt; Graph / seed substrate -&gt; Pi -&gt; completeness -&gt; Constraints -&gt; Domain Framing -&gt; Adequacy -&gt; Sigma -&gt; epsilon</w:t>
      </w:r>
    </w:p>
    <w:p>
      <w:r>
        <w:t>This line is a compact orientation map, not a substitute for the owning operator specifications. O_i(t) is shown at the decision interface because it may affect explicitly licensed discovery, retrieval, or descriptive objective-policy relations; it does not become an operator in the canonical sequence.</w:t>
      </w:r>
    </w:p>
    <w:p>
      <w:pPr>
        <w:pStyle w:val="ListBullet"/>
      </w:pPr>
      <w:r>
        <w:t>Phi: projected/decision-relevant representation according to its owning specification.</w:t>
      </w:r>
    </w:p>
    <w:p>
      <w:pPr>
        <w:pStyle w:val="ListBullet"/>
      </w:pPr>
      <w:r>
        <w:t>H: horizon structure.</w:t>
      </w:r>
    </w:p>
    <w:p>
      <w:pPr>
        <w:pStyle w:val="ListBullet"/>
      </w:pPr>
      <w:r>
        <w:t>G: governing-domain structure.</w:t>
      </w:r>
    </w:p>
    <w:p>
      <w:pPr>
        <w:pStyle w:val="ListBullet"/>
      </w:pPr>
      <w:r>
        <w:t>R: regime-sensitive processing and related structure.</w:t>
      </w:r>
    </w:p>
    <w:p>
      <w:pPr>
        <w:pStyle w:val="ListBullet"/>
      </w:pPr>
      <w:r>
        <w:t>Graph / seed substrate: represented reachable mechanisms, opportunities, and governed constructibility.</w:t>
      </w:r>
    </w:p>
    <w:p>
      <w:pPr>
        <w:pStyle w:val="ListBullet"/>
      </w:pPr>
      <w:r>
        <w:t>Pi: candidate-policy construction from the represented substrate.</w:t>
      </w:r>
    </w:p>
    <w:p>
      <w:pPr>
        <w:pStyle w:val="ListBullet"/>
      </w:pPr>
      <w:r>
        <w:t>Completeness: tests whether the relevant candidate surface is sufficiently represented for the declared decision.</w:t>
      </w:r>
    </w:p>
    <w:p>
      <w:pPr>
        <w:pStyle w:val="ListBullet"/>
      </w:pPr>
      <w:r>
        <w:t>Constraints: applies admissibility, authority, permission, legal, technical, and other binding conditions as specified.</w:t>
      </w:r>
    </w:p>
    <w:p>
      <w:pPr>
        <w:pStyle w:val="ListBullet"/>
      </w:pPr>
      <w:r>
        <w:t>Domain Framing: preserves the consequence/domain structure that governs comparison.</w:t>
      </w:r>
    </w:p>
    <w:p>
      <w:pPr>
        <w:pStyle w:val="ListBullet"/>
      </w:pPr>
      <w:r>
        <w:t>Adequacy: tests whether a surviving policy satisfies the governing target and required conditions.</w:t>
      </w:r>
    </w:p>
    <w:p>
      <w:pPr>
        <w:pStyle w:val="ListBullet"/>
      </w:pPr>
      <w:r>
        <w:t>Sigma: selects from the surviving structured policy set.</w:t>
      </w:r>
    </w:p>
    <w:p>
      <w:pPr>
        <w:pStyle w:val="ListBullet"/>
      </w:pPr>
      <w:r>
        <w:t>epsilon: governs the transition from selected policy toward attempted execution.</w:t>
      </w:r>
    </w:p>
    <w:p>
      <w:pPr>
        <w:pStyle w:val="Heading1"/>
      </w:pPr>
      <w:r>
        <w:t>5. Objective Responsiveness</w:t>
      </w:r>
    </w:p>
    <w:p>
      <w:r>
        <w:t>A policy may be described as supporting, neutral to, conflicting with, or unresolved relative to an objective. Objective Responsiveness is descriptive. It does not prove feasibility, reachability, viability, authority, adequacy, selection, or executability.</w:t>
      </w:r>
    </w:p>
    <w:p>
      <w:r>
        <w:t>Objective-directed discovery is bounded by the ordinary architecture. An objective may help surface a candidate route, but it cannot fabricate Graph reachability, bypass Pi construction/completeness, or make an impossible policy available.</w:t>
      </w:r>
    </w:p>
    <w:p>
      <w:pPr>
        <w:pStyle w:val="Heading1"/>
      </w:pPr>
      <w:r>
        <w:t>6. Selection, Execution, and Environmental Realization</w:t>
      </w:r>
    </w:p>
    <w:p>
      <w:pPr>
        <w:jc w:val="center"/>
      </w:pPr>
      <w:r>
        <w:rPr>
          <w:b/>
        </w:rPr>
        <w:t>Sigma selected policy -&gt; epsilon -&gt; attempted action -&gt; environmental realization -&gt; Layer-1 transition</w:t>
      </w:r>
    </w:p>
    <w:p>
      <w:r>
        <w:t>Selection and execution are distinct. epsilon may validate, stage, invoke, complete, partially complete, abort, or return control upstream according to the execution contract; it is not a second selector. A technically successful call is not automatically proof that the intended environmental effect or authoritative state transition occurred.</w:t>
      </w:r>
    </w:p>
    <w:p>
      <w:r>
        <w:t>Where native call-through is used, Runtime V2.1 can invoke registered synchronous functions after the required governance checks and return structured results/errors to the caller. External systems and the application remain responsible for the actual environmental effects and for authoritative state updates.</w:t>
      </w:r>
    </w:p>
    <w:p>
      <w:pPr>
        <w:pStyle w:val="Heading1"/>
      </w:pPr>
      <w:r>
        <w:t>7. Layer-1 State Transition and Feedback</w:t>
      </w:r>
    </w:p>
    <w:p>
      <w:pPr>
        <w:jc w:val="center"/>
      </w:pPr>
      <w:r>
        <w:rPr>
          <w:b/>
        </w:rPr>
        <w:t>S_i(t+1) = T( S_i(t), realized action/effect, admissible context/evidence )</w:t>
      </w:r>
    </w:p>
    <w:p>
      <w:r>
        <w:t>Layer 1 updates actual persistent state from realized effects under the applicable transition rules. The exact transition representation is application/domain specific. Productive Value transfers or realizations, holdings, resources, obligations, capability status, viability, and other typed consequences retain their distinct roles.</w:t>
      </w:r>
    </w:p>
    <w:p>
      <w:r>
        <w:t>After realization, observation, memory, expectation/model state, confidence, and perceived state may also update through their licensed interfaces. Informational updates do not retroactively change what the earlier decision state contained.</w:t>
      </w:r>
    </w:p>
    <w:p>
      <w:pPr>
        <w:pStyle w:val="Heading1"/>
      </w:pPr>
      <w:r>
        <w:t>8. Information Governance</w:t>
      </w:r>
    </w:p>
    <w:p>
      <w:r>
        <w:t>Retrieved information is governed along dimensions that must not be collapsed into one confidence score:</w:t>
      </w:r>
    </w:p>
    <w:p>
      <w:pPr>
        <w:pStyle w:val="ListBullet"/>
      </w:pPr>
      <w:r>
        <w:t>quality/confidence;</w:t>
      </w:r>
    </w:p>
    <w:p>
      <w:pPr>
        <w:pStyle w:val="ListBullet"/>
      </w:pPr>
      <w:r>
        <w:t>source authority;</w:t>
      </w:r>
    </w:p>
    <w:p>
      <w:pPr>
        <w:pStyle w:val="ListBullet"/>
      </w:pPr>
      <w:r>
        <w:t>applicability scope;</w:t>
      </w:r>
    </w:p>
    <w:p>
      <w:pPr>
        <w:pStyle w:val="ListBullet"/>
      </w:pPr>
      <w:r>
        <w:t>permitted-use scope and authorized surfaces;</w:t>
      </w:r>
    </w:p>
    <w:p>
      <w:pPr>
        <w:pStyle w:val="ListBullet"/>
      </w:pPr>
      <w:r>
        <w:t>disposition, including current, rejected, superseded, defective, prohibited for use, historically valid but noncurrent, unresolved, or contradicted;</w:t>
      </w:r>
    </w:p>
    <w:p>
      <w:pPr>
        <w:pStyle w:val="ListBullet"/>
      </w:pPr>
      <w:r>
        <w:t>temporal provenance, including valid time and record/knowledge time where the distinction is material.</w:t>
      </w:r>
    </w:p>
    <w:p>
      <w:r>
        <w:t>High confidence does not create authority. Relevance does not create permission. Retrieval does not erase a noncurrent or prohibited disposition.</w:t>
      </w:r>
    </w:p>
    <w:p>
      <w:pPr>
        <w:pStyle w:val="Heading1"/>
      </w:pPr>
      <w:r>
        <w:t>9. Transfer History, Memory, and Replay</w:t>
      </w:r>
    </w:p>
    <w:p>
      <w:r>
        <w:t>Transfer History is a structured event-history substrate. It may record interactions, transfers, commitments, failures, recoveries, or other relevant events, but event history is not automatically memory, expectation, current truth, current PP, current state, or authority.</w:t>
      </w:r>
    </w:p>
    <w:p>
      <w:r>
        <w:t>Replay sufficiency is separate from prospective state sufficiency. Historical reconstruction requires retention of enough decision-time material - state basis, P_i(t), applicable O_i(t), admitted evidence/governance, configuration/rules, candidate and selection trace, and execution/Layer-1 evidence as applicable - to support the claimed reconstruction. Later knowledge must not be projected backward into the historical decision basis.</w:t>
      </w:r>
    </w:p>
    <w:p>
      <w:pPr>
        <w:pStyle w:val="Heading1"/>
      </w:pPr>
      <w:r>
        <w:t>10. Capability Change</w:t>
      </w:r>
    </w:p>
    <w:p>
      <w:r>
        <w:t>Capability change follows an evidence-controlled path. Observed capability change may support a capability trajectory or update represented reachability only through explicit dependencies and ordinary downstream governance. Neither an objective nor a prediction of future capability can be treated as current PP.</w:t>
      </w:r>
    </w:p>
    <w:p>
      <w:r>
        <w:t>This is the anti-laundering rule for capability development: intention -&gt; discovery/training/investment/action -&gt; realized state transition -&gt; evidenced capability -&gt; current PP. The framework does not permit the first term to stand in for the last.</w:t>
      </w:r>
    </w:p>
    <w:p>
      <w:pPr>
        <w:pStyle w:val="Heading1"/>
      </w:pPr>
      <w:r>
        <w:t>11. Whole-System Skeleton</w:t>
      </w:r>
    </w:p>
    <w:p>
      <w:pPr>
        <w:jc w:val="center"/>
      </w:pPr>
      <w:r>
        <w:rPr>
          <w:b/>
        </w:rPr>
        <w:t>Actual state S_i(t)</w:t>
        <w:br/>
      </w:r>
      <w:r>
        <w:rPr>
          <w:b w:val="0"/>
        </w:rPr>
        <w:t>↓ observation / retrieval / expectation / other licensed information</w:t>
        <w:br/>
      </w:r>
      <w:r>
        <w:rPr>
          <w:b/>
        </w:rPr>
        <w:t>Perceived decision state P_i(t)   +   adjacent objective state O_i(t)</w:t>
        <w:br/>
      </w:r>
      <w:r>
        <w:rPr>
          <w:b w:val="0"/>
        </w:rPr>
        <w:t>↓</w:t>
        <w:br/>
      </w:r>
      <w:r>
        <w:rPr>
          <w:b w:val="0"/>
        </w:rPr>
        <w:t>Phi -&gt; H -&gt; G -&gt; R -&gt; Graph -&gt; Pi -&gt; completeness -&gt; Constraints -&gt; Framing -&gt; Adequacy -&gt; Sigma -&gt; epsilon</w:t>
        <w:br/>
      </w:r>
      <w:r>
        <w:rPr>
          <w:b w:val="0"/>
        </w:rPr>
        <w:t>↓</w:t>
        <w:br/>
      </w:r>
      <w:r>
        <w:rPr>
          <w:b w:val="0"/>
        </w:rPr>
        <w:t>attempted action / external execution / environmental realization</w:t>
        <w:br/>
      </w:r>
      <w:r>
        <w:rPr>
          <w:b w:val="0"/>
        </w:rPr>
        <w:t>↓</w:t>
        <w:br/>
      </w:r>
      <w:r>
        <w:rPr>
          <w:b w:val="0"/>
        </w:rPr>
        <w:t>realized PV and other typed consequences</w:t>
        <w:br/>
      </w:r>
      <w:r>
        <w:rPr>
          <w:b w:val="0"/>
        </w:rPr>
        <w:t>↓</w:t>
        <w:br/>
      </w:r>
      <w:r>
        <w:rPr>
          <w:b/>
        </w:rPr>
        <w:t>Layer-1 transition -&gt; S_i(t+1)</w:t>
        <w:br/>
      </w:r>
      <w:r>
        <w:rPr>
          <w:b w:val="0"/>
        </w:rPr>
        <w:t>↓</w:t>
        <w:br/>
      </w:r>
      <w:r>
        <w:rPr>
          <w:b w:val="0"/>
        </w:rPr>
        <w:t>governed informational, memory, expectation, history, and perception updates</w:t>
        <w:br/>
      </w:r>
    </w:p>
    <w:p>
      <w:pPr>
        <w:pStyle w:val="Heading1"/>
      </w:pPr>
      <w:r>
        <w:t>12. Non-Negotiable Boundaries</w:t>
      </w:r>
    </w:p>
    <w:p>
      <w:pPr>
        <w:pStyle w:val="ListBullet"/>
      </w:pPr>
      <w:r>
        <w:t>Do not default heterogeneous governing domains to a single scalar merely because they are measurable.</w:t>
      </w:r>
    </w:p>
    <w:p>
      <w:pPr>
        <w:pStyle w:val="ListBullet"/>
      </w:pPr>
      <w:r>
        <w:t>Do not repair upstream omissions downstream. Missing state, candidate families, authority, or evidence must be handled at the owning surface.</w:t>
      </w:r>
    </w:p>
    <w:p>
      <w:pPr>
        <w:pStyle w:val="ListBullet"/>
      </w:pPr>
      <w:r>
        <w:t>Keep actual state, perceived state, objectives, memory, expectation, confidence, information authority, Transfer History, and replay evidence distinct.</w:t>
      </w:r>
    </w:p>
    <w:p>
      <w:pPr>
        <w:pStyle w:val="ListBullet"/>
      </w:pPr>
      <w:r>
        <w:t>Keep PV, SPV, PP, viability, resources/mechanisms, constraints, objectives, and consequences in their assigned roles.</w:t>
      </w:r>
    </w:p>
    <w:p>
      <w:pPr>
        <w:pStyle w:val="ListBullet"/>
      </w:pPr>
      <w:r>
        <w:t>Sigma selects; epsilon governs execution transition. Neither is a substitute for candidate construction, completeness, constraints, framing, or adequacy.</w:t>
      </w:r>
    </w:p>
    <w:p>
      <w:pPr>
        <w:pStyle w:val="ListBullet"/>
      </w:pPr>
      <w:r>
        <w:t>A desired, predicted, or developing capability is not current PP until realized and evidenced.</w:t>
      </w:r>
    </w:p>
    <w:p>
      <w:pPr>
        <w:pStyle w:val="ListBullet"/>
      </w:pPr>
      <w:r>
        <w:t>Historical evidence can explain current state without becoming an additional live-state primitive.</w:t>
      </w:r>
    </w:p>
    <w:p>
      <w:pPr>
        <w:pStyle w:val="ListBullet"/>
      </w:pPr>
      <w:r>
        <w:t>Framework capability and runtime implementation must be reported separately.</w:t>
      </w:r>
    </w:p>
    <w:p>
      <w:pPr>
        <w:pStyle w:val="Heading1"/>
      </w:pPr>
      <w:r>
        <w:t>13. Current Runtime Boundary</w:t>
      </w:r>
    </w:p>
    <w:p>
      <w:r>
        <w:t>Frozen Runtime V2.1 v0.141 implements substantial portions of this architecture and passed its frozen 1093-test regression suite. It remains synchronous. It has no asynchronous sensing, external instrumentation hooks, or autonomous in-flight environment-change detection. Applications may supply instrumentation and state/evidence updates around the runtime, but those capabilities must not be attributed to v0.141 itself.</w:t>
      </w:r>
    </w:p>
    <w:p>
      <w:pPr>
        <w:pStyle w:val="Heading1"/>
      </w:pPr>
      <w:r>
        <w:t>14. How to Use This Skeleton</w:t>
      </w:r>
    </w:p>
    <w:p>
      <w:r>
        <w:t>Use this document as a map. For domain modeling, use the current Scenario and Model Architecture Guide. For canonical semantics, consult the Version 2.1 owner specifications. For implementation details, use the Runtime API Developer Reference for frozen v0.141. For theoretical comparison or evidence claims, use the dedicated positioning, proof, benchmark, and research documents rather than extending this compact skeleton.</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Amundsen R&amp;D LLC | Current Supporting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PV-PP Compact Architecture Skeleton | Framework Version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