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Benchmark Design Guide</w:t>
      </w:r>
    </w:p>
    <w:p>
      <w:pPr>
        <w:jc w:val="center"/>
      </w:pPr>
      <w:r>
        <w:rPr>
          <w:b/>
        </w:rPr>
        <w:t>Runtime V2.1 Edition | Version 1.0</w:t>
      </w:r>
    </w:p>
    <w:p>
      <w:pPr>
        <w:jc w:val="center"/>
      </w:pPr>
      <w:r>
        <w:t>From a Valid PV-PP Scenario Model to a Controlled Benchmark or Simulation | September 2026</w:t>
      </w:r>
    </w:p>
    <w:p>
      <w:r>
        <w:t>Status and authority: Current benchmark-design guidance. This guide does not define canonical PV-PP ontology, operators, proof results, or runtime behavior. A benchmark must first be grounded in the current Scenario and Model Architecture Guide and applicable Framework Version 2.1 owner specifications. This guide then explains how to turn that model into a controlled experiment, simulation, or teaching benchmark.</w:t>
      </w:r>
    </w:p>
    <w:p>
      <w:pPr>
        <w:pStyle w:val="Heading1"/>
      </w:pPr>
      <w:r>
        <w:t>1. Purpose</w:t>
      </w:r>
    </w:p>
    <w:p>
      <w:r>
        <w:t>A PV-PP benchmark is a controlled model used to test a declared structural, behavioral, implementation, or comparative question. It is not simply a scenario with numbers and it is not a reward function with PV-PP labels.</w:t>
      </w:r>
    </w:p>
    <w:p>
      <w:r>
        <w:t>The benchmark designer begins with a valid scenario/model and then specifies what will be varied, what will be held constant, what outcomes will be observed, what would count as failure or false success, and which claims the benchmark can and cannot support.</w:t>
      </w:r>
    </w:p>
    <w:p>
      <w:r>
        <w:t>The core design principle inherited from the legacy benchmark work remains useful: begin with capabilities, typed state, actual value transfers/realizations, viability conditions, corridors, and recovery structure—not with a scalar reward score. Version 2.1 adds explicit perceived decision state, objectives, information governance, state sufficiency, replay requirements, and runtime integration boundaries.</w:t>
      </w:r>
    </w:p>
    <w:p>
      <w:pPr>
        <w:pStyle w:val="Heading1"/>
      </w:pPr>
      <w:r>
        <w:t>2. Where This Guide Fits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Stage</w:t>
            </w:r>
          </w:p>
        </w:tc>
        <w:tc>
          <w:tcPr>
            <w:tcW w:type="dxa" w:w="2520"/>
          </w:tcPr>
          <w:p>
            <w:r>
              <w:rPr>
                <w:b/>
              </w:rPr>
              <w:t>Question</w:t>
            </w:r>
          </w:p>
        </w:tc>
        <w:tc>
          <w:tcPr>
            <w:tcW w:type="dxa" w:w="2520"/>
          </w:tcPr>
          <w:p>
            <w:r>
              <w:rPr>
                <w:b/>
              </w:rPr>
              <w:t>Primary artifact</w:t>
            </w:r>
          </w:p>
        </w:tc>
        <w:tc>
          <w:tcPr>
            <w:tcW w:type="dxa" w:w="2520"/>
          </w:tcPr>
          <w:p>
            <w:r>
              <w:rPr>
                <w:b/>
              </w:rPr>
              <w:t>Output</w:t>
            </w:r>
          </w:p>
        </w:tc>
      </w:tr>
      <w:tr>
        <w:tc>
          <w:tcPr>
            <w:tcW w:type="dxa" w:w="2520"/>
            <w:vAlign w:val="top"/>
          </w:tcPr>
          <w:p>
            <w:r>
              <w:t>1. Scenario / model</w:t>
            </w:r>
          </w:p>
        </w:tc>
        <w:tc>
          <w:tcPr>
            <w:tcW w:type="dxa" w:w="2520"/>
            <w:vAlign w:val="top"/>
          </w:tcPr>
          <w:p>
            <w:r>
              <w:t>What system and decision are being represented?</w:t>
            </w:r>
          </w:p>
        </w:tc>
        <w:tc>
          <w:tcPr>
            <w:tcW w:type="dxa" w:w="2520"/>
            <w:vAlign w:val="top"/>
          </w:tcPr>
          <w:p>
            <w:r>
              <w:t>Scenario and Model Architecture Guide</w:t>
            </w:r>
          </w:p>
        </w:tc>
        <w:tc>
          <w:tcPr>
            <w:tcW w:type="dxa" w:w="2520"/>
            <w:vAlign w:val="top"/>
          </w:tcPr>
          <w:p>
            <w:r>
              <w:t>Qualified actors/entities, typed state, PV/SPV/PP roles, P, O, transitions, authority, boundaries.</w:t>
            </w:r>
          </w:p>
        </w:tc>
      </w:tr>
      <w:tr>
        <w:tc>
          <w:tcPr>
            <w:tcW w:type="dxa" w:w="2520"/>
            <w:vAlign w:val="top"/>
          </w:tcPr>
          <w:p>
            <w:r>
              <w:t>2. Benchmark design</w:t>
            </w:r>
          </w:p>
        </w:tc>
        <w:tc>
          <w:tcPr>
            <w:tcW w:type="dxa" w:w="2520"/>
            <w:vAlign w:val="top"/>
          </w:tcPr>
          <w:p>
            <w:r>
              <w:t>What proposition or behavior is being tested?</w:t>
            </w:r>
          </w:p>
        </w:tc>
        <w:tc>
          <w:tcPr>
            <w:tcW w:type="dxa" w:w="2520"/>
            <w:vAlign w:val="top"/>
          </w:tcPr>
          <w:p>
            <w:r>
              <w:t>This guide</w:t>
            </w:r>
          </w:p>
        </w:tc>
        <w:tc>
          <w:tcPr>
            <w:tcW w:type="dxa" w:w="2520"/>
            <w:vAlign w:val="top"/>
          </w:tcPr>
          <w:p>
            <w:r>
              <w:t>Experimental question, controls, perturbations, observables, baselines, failure criteria.</w:t>
            </w:r>
          </w:p>
        </w:tc>
      </w:tr>
      <w:tr>
        <w:tc>
          <w:tcPr>
            <w:tcW w:type="dxa" w:w="2520"/>
            <w:vAlign w:val="top"/>
          </w:tcPr>
          <w:p>
            <w:r>
              <w:t>3. Programming / integration</w:t>
            </w:r>
          </w:p>
        </w:tc>
        <w:tc>
          <w:tcPr>
            <w:tcW w:type="dxa" w:w="2520"/>
            <w:vAlign w:val="top"/>
          </w:tcPr>
          <w:p>
            <w:r>
              <w:t>How will the benchmark execute?</w:t>
            </w:r>
          </w:p>
        </w:tc>
        <w:tc>
          <w:tcPr>
            <w:tcW w:type="dxa" w:w="2520"/>
            <w:vAlign w:val="top"/>
          </w:tcPr>
          <w:p>
            <w:r>
              <w:t>Benchmark Programming and Runtime Integration Guide</w:t>
            </w:r>
          </w:p>
        </w:tc>
        <w:tc>
          <w:tcPr>
            <w:tcW w:type="dxa" w:w="2520"/>
            <w:vAlign w:val="top"/>
          </w:tcPr>
          <w:p>
            <w:r>
              <w:t>Simulation loop, runtime calls where appropriate, trace/logging, reproducibility controls.</w:t>
            </w:r>
          </w:p>
        </w:tc>
      </w:tr>
      <w:tr>
        <w:tc>
          <w:tcPr>
            <w:tcW w:type="dxa" w:w="2520"/>
            <w:vAlign w:val="top"/>
          </w:tcPr>
          <w:p>
            <w:r>
              <w:t>4. Reference implementation</w:t>
            </w:r>
          </w:p>
        </w:tc>
        <w:tc>
          <w:tcPr>
            <w:tcW w:type="dxa" w:w="2520"/>
            <w:vAlign w:val="top"/>
          </w:tcPr>
          <w:p>
            <w:r>
              <w:t>What did this benchmark actually implement?</w:t>
            </w:r>
          </w:p>
        </w:tc>
        <w:tc>
          <w:tcPr>
            <w:tcW w:type="dxa" w:w="2520"/>
            <w:vAlign w:val="top"/>
          </w:tcPr>
          <w:p>
            <w:r>
              <w:t>Benchmark-specific developer reference</w:t>
            </w:r>
          </w:p>
        </w:tc>
        <w:tc>
          <w:tcPr>
            <w:tcW w:type="dxa" w:w="2520"/>
            <w:vAlign w:val="top"/>
          </w:tcPr>
          <w:p>
            <w:r>
              <w:t>Code structure, configuration, assumptions, tests, outputs, limitations.</w:t>
            </w:r>
          </w:p>
        </w:tc>
      </w:tr>
    </w:tbl>
    <w:p>
      <w:pPr>
        <w:pStyle w:val="Heading1"/>
      </w:pPr>
      <w:r>
        <w:t>3. Required Input: A Valid Scenario Model</w:t>
      </w:r>
    </w:p>
    <w:p>
      <w:r>
        <w:t>Before benchmark design begins, the source model should identify at least:</w:t>
      </w:r>
    </w:p>
    <w:p>
      <w:pPr>
        <w:pStyle w:val="ListBullet"/>
      </w:pPr>
      <w:r>
        <w:t>experimental boundary, actors/entities, decision points, and relevant time horizon;</w:t>
      </w:r>
    </w:p>
    <w:p>
      <w:pPr>
        <w:pStyle w:val="ListBullet"/>
      </w:pPr>
      <w:r>
        <w:t>actual persistent state S_i(t), including PP, SPV, viability state, and other typed material state;</w:t>
      </w:r>
    </w:p>
    <w:p>
      <w:pPr>
        <w:pStyle w:val="ListBullet"/>
      </w:pPr>
      <w:r>
        <w:t>Perceived Decision State P_i(t) where perception, uncertainty, memory, expectation, or information gaps matter;</w:t>
      </w:r>
    </w:p>
    <w:p>
      <w:pPr>
        <w:pStyle w:val="ListBullet"/>
      </w:pPr>
      <w:r>
        <w:t>Objective state O_i(t) where actor/application purposes are relevant;</w:t>
      </w:r>
    </w:p>
    <w:p>
      <w:pPr>
        <w:pStyle w:val="ListBullet"/>
      </w:pPr>
      <w:r>
        <w:t>Productive Powers and the underlying resources/mechanisms that enable them;</w:t>
      </w:r>
    </w:p>
    <w:p>
      <w:pPr>
        <w:pStyle w:val="ListBullet"/>
      </w:pPr>
      <w:r>
        <w:t>Productive Value transfers or realizations, separated from ordinary state changes and consequences;</w:t>
      </w:r>
    </w:p>
    <w:p>
      <w:pPr>
        <w:pStyle w:val="ListBullet"/>
      </w:pPr>
      <w:r>
        <w:t>governing domains, thresholds, insufficiency/collapse conditions, constraints, authority, and recovery requirements;</w:t>
      </w:r>
    </w:p>
    <w:p>
      <w:pPr>
        <w:pStyle w:val="ListBullet"/>
      </w:pPr>
      <w:r>
        <w:t>reachable transformations/corridors and relevant candidate policies/actions;</w:t>
      </w:r>
    </w:p>
    <w:p>
      <w:pPr>
        <w:pStyle w:val="ListBullet"/>
      </w:pPr>
      <w:r>
        <w:t>state-transition rules and authoritative outcome/state update rules;</w:t>
      </w:r>
    </w:p>
    <w:p>
      <w:pPr>
        <w:pStyle w:val="ListBullet"/>
      </w:pPr>
      <w:r>
        <w:t>information sources, authority/applicability/permitted-use requirements where evidence affects the decision;</w:t>
      </w:r>
    </w:p>
    <w:p>
      <w:pPr>
        <w:pStyle w:val="ListBullet"/>
      </w:pPr>
      <w:r>
        <w:t>the material current-state basis needed for transition-relevant state sufficiency.</w:t>
      </w:r>
    </w:p>
    <w:p>
      <w:r>
        <w:t>If these items are unresolved, the benchmark should not invent definitions merely to make the simulation run. Return to the modeling layer and resolve the ambiguity there.</w:t>
      </w:r>
    </w:p>
    <w:p>
      <w:pPr>
        <w:pStyle w:val="Heading1"/>
      </w:pPr>
      <w:r>
        <w:t>4. Define the Benchmark Claim Before the Benchmark</w:t>
      </w:r>
    </w:p>
    <w:p>
      <w:r>
        <w:t>Every benchmark should begin with a one- or two-sentence proposition that can be supported, contradicted, or left unresolved by the experiment. Avoid broad claims such as 'PV-PP works.'</w:t>
      </w:r>
    </w:p>
    <w:p>
      <w:pPr>
        <w:pStyle w:val="ListBullet"/>
      </w:pPr>
      <w:r>
        <w:t>Structural example: a narrow task-success metric can remain positive while a governing viability condition fails.</w:t>
      </w:r>
    </w:p>
    <w:p>
      <w:pPr>
        <w:pStyle w:val="ListBullet"/>
      </w:pPr>
      <w:r>
        <w:t>Runtime example: an impossible objective does not create Graph reachability or a candidate policy.</w:t>
      </w:r>
    </w:p>
    <w:p>
      <w:pPr>
        <w:pStyle w:val="ListBullet"/>
      </w:pPr>
      <w:r>
        <w:t>Information-governance example: high-confidence but prohibited-for-use evidence does not become authorized positive evidence.</w:t>
      </w:r>
    </w:p>
    <w:p>
      <w:pPr>
        <w:pStyle w:val="ListBullet"/>
      </w:pPr>
      <w:r>
        <w:t>State-sufficiency example: two cases declared equivalent in complete current state should not differ in modeled reachability solely because omitted historical residue is different.</w:t>
      </w:r>
    </w:p>
    <w:p>
      <w:pPr>
        <w:pStyle w:val="ListBullet"/>
      </w:pPr>
      <w:r>
        <w:t>Comparative example: under a declared parameter regime, a scalar baseline and a PV-PP-structured policy produce different failure detection or recovery behavior.</w:t>
      </w:r>
    </w:p>
    <w:p>
      <w:r>
        <w:t>A benchmark can demonstrate behavior under its model and parameterization. It does not, by itself, prove the whole framework, establish empirical superiority, or show that all alternative models fail.</w:t>
      </w:r>
    </w:p>
    <w:p>
      <w:pPr>
        <w:pStyle w:val="Heading1"/>
      </w:pPr>
      <w:r>
        <w:t>5. Benchmark Objects</w:t>
      </w:r>
    </w:p>
    <w:p>
      <w:pPr>
        <w:pStyle w:val="Heading2"/>
      </w:pPr>
      <w:r>
        <w:t>5.1 Productive Power and PP-Enabling Mechanisms</w:t>
      </w:r>
    </w:p>
    <w:p>
      <w:r>
        <w:t>Productive Power is actual capability under stated conditions. Concrete resources, tools, routes, inventories, permissions, mechanisms, or satisfiers may enable a PP without being identical to the abstract capability. A benchmark should represent enough underlying typed state to determine whether the capability is currently available.</w:t>
      </w:r>
    </w:p>
    <w:p>
      <w:pPr>
        <w:pStyle w:val="Heading2"/>
      </w:pPr>
      <w:r>
        <w:t>5.2 Productive Value and Other Consequences</w:t>
      </w:r>
    </w:p>
    <w:p>
      <w:r>
        <w:t>Record PV only where modeled value is actually transferred, delivered, realized, imposed, or otherwise conveyed. Inventory depletion, risk exposure, evidence status, authority, safety margin, obligations, trust state, or future capacity should retain their actual roles unless the scenario independently qualifies them as PV.</w:t>
      </w:r>
    </w:p>
    <w:p>
      <w:pPr>
        <w:pStyle w:val="Heading2"/>
      </w:pPr>
      <w:r>
        <w:t>5.3 Participants and Entities</w:t>
      </w:r>
    </w:p>
    <w:p>
      <w:r>
        <w:t>Humans, machines, AI agents, institutions, subsystems, and collectives may be benchmark participants where the model qualifies them. Participants carry or use state/capabilities; they are not automatically the primary unit of analysis.</w:t>
      </w:r>
    </w:p>
    <w:p>
      <w:pPr>
        <w:pStyle w:val="Heading2"/>
      </w:pPr>
      <w:r>
        <w:t>5.4 P_i(t) and O_i(t)</w:t>
      </w:r>
    </w:p>
    <w:p>
      <w:r>
        <w:t>Where decision behavior is modeled, distinguish what the actor perceives from what actually exists. Carry objectives adjacent to perceived state. Objective changes can be benchmark perturbations, but they cannot be used to fabricate state, capability, reachability, authority, adequacy, or selection.</w:t>
      </w:r>
    </w:p>
    <w:p>
      <w:pPr>
        <w:pStyle w:val="Heading1"/>
      </w:pPr>
      <w:r>
        <w:t>6. Corridors and Controlled Transition Paths</w:t>
      </w:r>
    </w:p>
    <w:p>
      <w:r>
        <w:t>A corridor is a modeled path or family of transitions through which interaction, recovery, substitution, degradation, or execution proceeds. The term is useful in benchmarks because it makes the transition structure visible rather than hiding all outcomes inside a score.</w:t>
      </w:r>
    </w:p>
    <w:p>
      <w:pPr>
        <w:pStyle w:val="ListBullet"/>
      </w:pPr>
      <w:r>
        <w:rPr>
          <w:b/>
        </w:rPr>
        <w:t xml:space="preserve">Normal / productive corridor: </w:t>
      </w:r>
      <w:r>
        <w:t>The intended viable path through the modeled interaction.</w:t>
      </w:r>
    </w:p>
    <w:p>
      <w:pPr>
        <w:pStyle w:val="ListBullet"/>
      </w:pPr>
      <w:r>
        <w:rPr>
          <w:b/>
        </w:rPr>
        <w:t xml:space="preserve">Failure corridor: </w:t>
      </w:r>
      <w:r>
        <w:t>A path where a required transition blocks, degrades, becomes invalid, or produces a governing failure.</w:t>
      </w:r>
    </w:p>
    <w:p>
      <w:pPr>
        <w:pStyle w:val="ListBullet"/>
      </w:pPr>
      <w:r>
        <w:rPr>
          <w:b/>
        </w:rPr>
        <w:t xml:space="preserve">Recovery corridor: </w:t>
      </w:r>
      <w:r>
        <w:t>A path that restores, compensates, rolls back, repairs, or returns the modeled system toward viability.</w:t>
      </w:r>
    </w:p>
    <w:p>
      <w:pPr>
        <w:pStyle w:val="ListBullet"/>
      </w:pPr>
      <w:r>
        <w:rPr>
          <w:b/>
        </w:rPr>
        <w:t xml:space="preserve">Substitution / fallback corridor: </w:t>
      </w:r>
      <w:r>
        <w:t>An alternative mechanism/resource/path preserves the relevant capability or required function.</w:t>
      </w:r>
    </w:p>
    <w:p>
      <w:pPr>
        <w:pStyle w:val="ListBullet"/>
      </w:pPr>
      <w:r>
        <w:rPr>
          <w:b/>
        </w:rPr>
        <w:t xml:space="preserve">Negative / degradation corridor: </w:t>
      </w:r>
      <w:r>
        <w:t>A path toward loss of capability, collapse, relapse, destructive accumulation, or unrecoverable state.</w:t>
      </w:r>
    </w:p>
    <w:p>
      <w:r>
        <w:t>Corridor labels are benchmark conveniences, not replacements for canonical Graph, Π, Constraints, Adequacy, Σ, ε, or Layer-1 transition semantics.</w:t>
      </w:r>
    </w:p>
    <w:p>
      <w:pPr>
        <w:pStyle w:val="Heading1"/>
      </w:pPr>
      <w:r>
        <w:t>7. Governing Domains, Thresholds, and Adequacy</w:t>
      </w:r>
    </w:p>
    <w:p>
      <w:r>
        <w:t>A governing domain is one whose modeled failure changes whether the target interaction, policy, recovery, or state remains viable or adequate. Governing status is scenario-dependent. Thresholds may be numeric, categorical, binary, functional, relational, temporal, or transition-based.</w:t>
      </w:r>
    </w:p>
    <w:p>
      <w:pPr>
        <w:pStyle w:val="ListBullet"/>
      </w:pPr>
      <w:r>
        <w:t>Define each governing domain and its comparison/transition rule.</w:t>
      </w:r>
    </w:p>
    <w:p>
      <w:pPr>
        <w:pStyle w:val="ListBullet"/>
      </w:pPr>
      <w:r>
        <w:t>Define the failure, insufficiency, collapse, or escalation condition.</w:t>
      </w:r>
    </w:p>
    <w:p>
      <w:pPr>
        <w:pStyle w:val="ListBullet"/>
      </w:pPr>
      <w:r>
        <w:t>Define which actions/corridors become blocked or newly required when the condition changes.</w:t>
      </w:r>
    </w:p>
    <w:p>
      <w:pPr>
        <w:pStyle w:val="ListBullet"/>
      </w:pPr>
      <w:r>
        <w:t>Define the recovery condition where recovery is part of the model.</w:t>
      </w:r>
    </w:p>
    <w:p>
      <w:pPr>
        <w:pStyle w:val="ListBullet"/>
      </w:pPr>
      <w:r>
        <w:t>Keep non-governing observables separate unless the experiment intentionally promotes them to governing status.</w:t>
      </w:r>
    </w:p>
    <w:p>
      <w:r>
        <w:t>Adequacy is not equivalent to visible completion. A benchmark must state what makes a resulting policy/outcome adequate for the governing target.</w:t>
      </w:r>
    </w:p>
    <w:p>
      <w:pPr>
        <w:pStyle w:val="Heading1"/>
      </w:pPr>
      <w:r>
        <w:t>8. False Success</w:t>
      </w:r>
    </w:p>
    <w:p>
      <w:r>
        <w:t>False success is a benchmark classification in which a visible or local success criterion is satisfied while a governing condition, required corridor, authority condition, or consequential realization has failed.</w:t>
      </w:r>
    </w:p>
    <w:p>
      <w:pPr>
        <w:pStyle w:val="ListBullet"/>
      </w:pPr>
      <w:r>
        <w:t>transaction recorded while required delivery did not occur;</w:t>
      </w:r>
    </w:p>
    <w:p>
      <w:pPr>
        <w:pStyle w:val="ListBullet"/>
      </w:pPr>
      <w:r>
        <w:t>high reward obtained while recovery access was destroyed;</w:t>
      </w:r>
    </w:p>
    <w:p>
      <w:pPr>
        <w:pStyle w:val="ListBullet"/>
      </w:pPr>
      <w:r>
        <w:t>function call returned successfully while the required environmental effect did not occur;</w:t>
      </w:r>
    </w:p>
    <w:p>
      <w:pPr>
        <w:pStyle w:val="ListBullet"/>
      </w:pPr>
      <w:r>
        <w:t>objective appears satisfied while a governing viability threshold was crossed;</w:t>
      </w:r>
    </w:p>
    <w:p>
      <w:pPr>
        <w:pStyle w:val="ListBullet"/>
      </w:pPr>
      <w:r>
        <w:t>agent acquired a capability locally while the resulting authority/state configuration is prohibited or unrecoverable.</w:t>
      </w:r>
    </w:p>
    <w:p>
      <w:r>
        <w:t>False-success detection is most useful when the ordinary success metric and the governing failure criterion are both declared before the experiment.</w:t>
      </w:r>
    </w:p>
    <w:p>
      <w:pPr>
        <w:pStyle w:val="Heading1"/>
      </w:pPr>
      <w:r>
        <w:t>9. Experimental Variables and Controls</w:t>
      </w:r>
    </w:p>
    <w:p>
      <w:r>
        <w:t>Separate at least four classes of benchmark variable:</w:t>
      </w:r>
    </w:p>
    <w:p>
      <w:pPr>
        <w:pStyle w:val="ListBullet"/>
      </w:pPr>
      <w:r>
        <w:t>Fixed model structure: ontology, actor/entity qualification, transition rules, operator/runtime version, authority rules, and declared governing domains.</w:t>
      </w:r>
    </w:p>
    <w:p>
      <w:pPr>
        <w:pStyle w:val="ListBullet"/>
      </w:pPr>
      <w:r>
        <w:t>Controlled perturbations: objectives, initial state, perception error, evidence disposition, resource/capability availability, thresholds, environmental parameters, or failure injection.</w:t>
      </w:r>
    </w:p>
    <w:p>
      <w:pPr>
        <w:pStyle w:val="ListBullet"/>
      </w:pPr>
      <w:r>
        <w:t>Policy/baseline variation: competing policy rules, conventional baseline, PV-PP runtime path, ablation, or deliberately defective implementation.</w:t>
      </w:r>
    </w:p>
    <w:p>
      <w:pPr>
        <w:pStyle w:val="ListBullet"/>
      </w:pPr>
      <w:r>
        <w:t>Observed outcomes: PV transfers, PP changes, viability margins, candidate/reachability changes, constraints, adequacy, selection, execution, recovery, false success, and final state.</w:t>
      </w:r>
    </w:p>
    <w:p>
      <w:r>
        <w:t>Do not change the framework rules between experimental arms unless the benchmark is explicitly testing alternative framework variants. Otherwise the experiment confounds the independent variable with the governing architecture.</w:t>
      </w:r>
    </w:p>
    <w:p>
      <w:pPr>
        <w:pStyle w:val="Heading1"/>
      </w:pPr>
      <w:r>
        <w:t>10. Objective Perturbation Benchmarks</w:t>
      </w:r>
    </w:p>
    <w:p>
      <w:r>
        <w:t>Version 2.1 supports especially useful objective-controlled tests:</w:t>
      </w:r>
    </w:p>
    <w:p>
      <w:pPr>
        <w:pStyle w:val="ListBullet"/>
      </w:pPr>
      <w:r>
        <w:t>attainable objective;</w:t>
      </w:r>
    </w:p>
    <w:p>
      <w:pPr>
        <w:pStyle w:val="ListBullet"/>
      </w:pPr>
      <w:r>
        <w:t>multiple conflicting objectives;</w:t>
      </w:r>
    </w:p>
    <w:p>
      <w:pPr>
        <w:pStyle w:val="ListBullet"/>
      </w:pPr>
      <w:r>
        <w:t>objective-versus-viability conflict;</w:t>
      </w:r>
    </w:p>
    <w:p>
      <w:pPr>
        <w:pStyle w:val="ListBullet"/>
      </w:pPr>
      <w:r>
        <w:t>impossible objective;</w:t>
      </w:r>
    </w:p>
    <w:p>
      <w:pPr>
        <w:pStyle w:val="ListBullet"/>
      </w:pPr>
      <w:r>
        <w:t>capability-development objective;</w:t>
      </w:r>
    </w:p>
    <w:p>
      <w:pPr>
        <w:pStyle w:val="ListBullet"/>
      </w:pPr>
      <w:r>
        <w:t>objective lifecycle activation/deactivation/supersession;</w:t>
      </w:r>
    </w:p>
    <w:p>
      <w:pPr>
        <w:pStyle w:val="ListBullet"/>
      </w:pPr>
      <w:r>
        <w:t>no-objective control.</w:t>
      </w:r>
    </w:p>
    <w:p>
      <w:r>
        <w:t>The principal invariant is that objective perturbation changes only authorized objective-responsive surfaces. It must not silently rewrite actual state, Graph reachability, candidate feasibility, authority, adequacy, or current PP.</w:t>
      </w:r>
    </w:p>
    <w:p>
      <w:pPr>
        <w:pStyle w:val="Heading1"/>
      </w:pPr>
      <w:r>
        <w:t>11. Information-Governance Benchmarks</w:t>
      </w:r>
    </w:p>
    <w:p>
      <w:r>
        <w:t>When evidence or memory is part of the experiment, vary quality/confidence separately from authority, applicability, permitted use, disposition, and temporal provenance.</w:t>
      </w:r>
    </w:p>
    <w:p>
      <w:pPr>
        <w:pStyle w:val="ListBullet"/>
      </w:pPr>
      <w:r>
        <w:t>high-confidence but unauthorized source;</w:t>
      </w:r>
    </w:p>
    <w:p>
      <w:pPr>
        <w:pStyle w:val="ListBullet"/>
      </w:pPr>
      <w:r>
        <w:t>relevant information outside its applicability scope;</w:t>
      </w:r>
    </w:p>
    <w:p>
      <w:pPr>
        <w:pStyle w:val="ListBullet"/>
      </w:pPr>
      <w:r>
        <w:t>current-looking retrieval whose disposition is superseded or defective;</w:t>
      </w:r>
    </w:p>
    <w:p>
      <w:pPr>
        <w:pStyle w:val="ListBullet"/>
      </w:pPr>
      <w:r>
        <w:t>historically valid but noncurrent evidence;</w:t>
      </w:r>
    </w:p>
    <w:p>
      <w:pPr>
        <w:pStyle w:val="ListBullet"/>
      </w:pPr>
      <w:r>
        <w:t>information learned later that must not be projected backward into a historical replay.</w:t>
      </w:r>
    </w:p>
    <w:p>
      <w:r>
        <w:t>A benchmark that collapses these dimensions into one confidence score cannot test the V2.1 information-governance claim.</w:t>
      </w:r>
    </w:p>
    <w:p>
      <w:pPr>
        <w:pStyle w:val="Heading1"/>
      </w:pPr>
      <w:r>
        <w:t>12. Transition-Relevant State and Replay</w:t>
      </w:r>
    </w:p>
    <w:p>
      <w:r>
        <w:t>For prospective state-sufficiency tests, declare the current state basis and admissible context. If a presently material consequence can alter modeled transition, reachability, policy construction, execution, or governance, it must be in or referenced by current state.</w:t>
      </w:r>
    </w:p>
    <w:p>
      <w:r>
        <w:t>For replay tests, separately declare the evidence needed to reconstruct the historical decision. Execution-complete does not necessarily mean replay-sufficient. Transfer History may contribute evidence but cannot substitute for current state sufficiency or be treated automatically as present truth.</w:t>
      </w:r>
    </w:p>
    <w:p>
      <w:pPr>
        <w:pStyle w:val="Heading1"/>
      </w:pPr>
      <w:r>
        <w:t>13. Runtime V2.1 Integration Boundary</w:t>
      </w:r>
    </w:p>
    <w:p>
      <w:r>
        <w:t>A benchmark does not have to use Runtime V2.1. Some teaching simulations intentionally implement only a narrow PV-PP distinction. But when a benchmark claims to test canonical runtime governance, it should call the frozen runtime rather than independently reimplementing the behavior under test.</w:t>
      </w:r>
    </w:p>
    <w:p>
      <w:pPr>
        <w:pStyle w:val="ListBullet"/>
      </w:pPr>
      <w:r>
        <w:t>Use runtime interfaces for the canonical surfaces the benchmark is actually testing.</w:t>
      </w:r>
    </w:p>
    <w:p>
      <w:pPr>
        <w:pStyle w:val="ListBullet"/>
      </w:pPr>
      <w:r>
        <w:t>Keep environment simulation, domain state, instrumentation, and authoritative environmental updates application-owned unless the runtime explicitly owns them.</w:t>
      </w:r>
    </w:p>
    <w:p>
      <w:pPr>
        <w:pStyle w:val="ListBullet"/>
      </w:pPr>
      <w:r>
        <w:t>Record runtime version/configuration and enough trace information for reproduction.</w:t>
      </w:r>
    </w:p>
    <w:p>
      <w:pPr>
        <w:pStyle w:val="ListBullet"/>
      </w:pPr>
      <w:r>
        <w:t>Do not attribute asynchronous sensing or external instrumentation to v0.141. The frozen runtime is synchronous and has no such hooks.</w:t>
      </w:r>
    </w:p>
    <w:p>
      <w:pPr>
        <w:pStyle w:val="ListBullet"/>
      </w:pPr>
      <w:r>
        <w:t>If the environment changes between runtime evaluations, the benchmark/application must surface the changed state/evidence through a new governed evaluation; v0.141 cannot autonomously detect an in-flight external change.</w:t>
      </w:r>
    </w:p>
    <w:p>
      <w:pPr>
        <w:pStyle w:val="Heading1"/>
      </w:pPr>
      <w:r>
        <w:t>14. Baselines and Comparators</w:t>
      </w:r>
    </w:p>
    <w:p>
      <w:r>
        <w:t>A useful benchmark often needs more than a PV-PP arm. Select comparators that actually address the same modeled task.</w:t>
      </w:r>
    </w:p>
    <w:p>
      <w:pPr>
        <w:pStyle w:val="ListBullet"/>
      </w:pPr>
      <w:r>
        <w:t>ordinary task/reward baseline;</w:t>
      </w:r>
    </w:p>
    <w:p>
      <w:pPr>
        <w:pStyle w:val="ListBullet"/>
      </w:pPr>
      <w:r>
        <w:t>hard-constraint or safety-filter baseline;</w:t>
      </w:r>
    </w:p>
    <w:p>
      <w:pPr>
        <w:pStyle w:val="ListBullet"/>
      </w:pPr>
      <w:r>
        <w:t>scalar optimization baseline where scalarization is legitimate enough to test;</w:t>
      </w:r>
    </w:p>
    <w:p>
      <w:pPr>
        <w:pStyle w:val="ListBullet"/>
      </w:pPr>
      <w:r>
        <w:t>ablation that removes one PV-PP distinction, such as perception/actual separation or information disposition;</w:t>
      </w:r>
    </w:p>
    <w:p>
      <w:pPr>
        <w:pStyle w:val="ListBullet"/>
      </w:pPr>
      <w:r>
        <w:t>hostile implementation that intentionally violates a declared invariant;</w:t>
      </w:r>
    </w:p>
    <w:p>
      <w:pPr>
        <w:pStyle w:val="ListBullet"/>
      </w:pPr>
      <w:r>
        <w:t>alternative established model when the research question is comparative rather than merely demonstrative.</w:t>
      </w:r>
    </w:p>
    <w:p>
      <w:r>
        <w:t>Do not design a weak comparator merely to make PV-PP look better. If a strong conventional method can reproduce the same decision or failure detection, that is an informative result.</w:t>
      </w:r>
    </w:p>
    <w:p>
      <w:pPr>
        <w:pStyle w:val="Heading1"/>
      </w:pPr>
      <w:r>
        <w:t>15. Metrics and Observables</w:t>
      </w:r>
    </w:p>
    <w:p>
      <w:r>
        <w:t>Separate ordinary performance metrics from PV-PP-relevant structural/governance observables.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Ordinary / task metrics</w:t>
            </w:r>
          </w:p>
        </w:tc>
        <w:tc>
          <w:tcPr>
            <w:tcW w:type="dxa" w:w="5040"/>
          </w:tcPr>
          <w:p>
            <w:r>
              <w:rPr>
                <w:b/>
              </w:rPr>
              <w:t>PV-PP-relevant observables</w:t>
            </w:r>
          </w:p>
        </w:tc>
      </w:tr>
      <w:tr>
        <w:tc>
          <w:tcPr>
            <w:tcW w:type="dxa" w:w="5040"/>
          </w:tcPr>
          <w:p>
            <w:r>
              <w:t>task/transaction completion</w:t>
            </w:r>
          </w:p>
        </w:tc>
        <w:tc>
          <w:tcPr>
            <w:tcW w:type="dxa" w:w="5040"/>
          </w:tcPr>
          <w:p>
            <w:r>
              <w:t>governing-threshold violations</w:t>
            </w:r>
          </w:p>
        </w:tc>
      </w:tr>
      <w:tr>
        <w:tc>
          <w:tcPr>
            <w:tcW w:type="dxa" w:w="5040"/>
          </w:tcPr>
          <w:p>
            <w:r>
              <w:t>reward/revenue/output</w:t>
            </w:r>
          </w:p>
        </w:tc>
        <w:tc>
          <w:tcPr>
            <w:tcW w:type="dxa" w:w="5040"/>
          </w:tcPr>
          <w:p>
            <w:r>
              <w:t>PP/current-capability changes</w:t>
            </w:r>
          </w:p>
        </w:tc>
      </w:tr>
      <w:tr>
        <w:tc>
          <w:tcPr>
            <w:tcW w:type="dxa" w:w="5040"/>
          </w:tcPr>
          <w:p>
            <w:r>
              <w:t>latency/steps/time</w:t>
            </w:r>
          </w:p>
        </w:tc>
        <w:tc>
          <w:tcPr>
            <w:tcW w:type="dxa" w:w="5040"/>
          </w:tcPr>
          <w:p>
            <w:r>
              <w:t>P versus actual-state divergence</w:t>
            </w:r>
          </w:p>
        </w:tc>
      </w:tr>
      <w:tr>
        <w:tc>
          <w:tcPr>
            <w:tcW w:type="dxa" w:w="5040"/>
          </w:tcPr>
          <w:p>
            <w:r>
              <w:t>resource consumption</w:t>
            </w:r>
          </w:p>
        </w:tc>
        <w:tc>
          <w:tcPr>
            <w:tcW w:type="dxa" w:w="5040"/>
          </w:tcPr>
          <w:p>
            <w:r>
              <w:t>recovery corridor availability</w:t>
            </w:r>
          </w:p>
        </w:tc>
      </w:tr>
      <w:tr>
        <w:tc>
          <w:tcPr>
            <w:tcW w:type="dxa" w:w="5040"/>
          </w:tcPr>
          <w:p>
            <w:r>
              <w:t>goal reached</w:t>
            </w:r>
          </w:p>
        </w:tc>
        <w:tc>
          <w:tcPr>
            <w:tcW w:type="dxa" w:w="5040"/>
          </w:tcPr>
          <w:p>
            <w:r>
              <w:t>Graph/reachability changes</w:t>
            </w:r>
          </w:p>
        </w:tc>
      </w:tr>
      <w:tr>
        <w:tc>
          <w:tcPr>
            <w:tcW w:type="dxa" w:w="5040"/>
          </w:tcPr>
          <w:p>
            <w:r/>
          </w:p>
        </w:tc>
        <w:tc>
          <w:tcPr>
            <w:tcW w:type="dxa" w:w="5040"/>
          </w:tcPr>
          <w:p>
            <w:r>
              <w:t>candidate completeness/admissibility</w:t>
            </w:r>
          </w:p>
        </w:tc>
      </w:tr>
      <w:tr>
        <w:tc>
          <w:tcPr>
            <w:tcW w:type="dxa" w:w="5040"/>
          </w:tcPr>
          <w:p>
            <w:r/>
          </w:p>
        </w:tc>
        <w:tc>
          <w:tcPr>
            <w:tcW w:type="dxa" w:w="5040"/>
          </w:tcPr>
          <w:p>
            <w:r>
              <w:t>objective responsiveness without authority leakage</w:t>
            </w:r>
          </w:p>
        </w:tc>
      </w:tr>
      <w:tr>
        <w:tc>
          <w:tcPr>
            <w:tcW w:type="dxa" w:w="5040"/>
          </w:tcPr>
          <w:p>
            <w:r/>
          </w:p>
        </w:tc>
        <w:tc>
          <w:tcPr>
            <w:tcW w:type="dxa" w:w="5040"/>
          </w:tcPr>
          <w:p>
            <w:r>
              <w:t>evidence-governance acceptance/refusal</w:t>
            </w:r>
          </w:p>
        </w:tc>
      </w:tr>
      <w:tr>
        <w:tc>
          <w:tcPr>
            <w:tcW w:type="dxa" w:w="5040"/>
          </w:tcPr>
          <w:p>
            <w:r/>
          </w:p>
        </w:tc>
        <w:tc>
          <w:tcPr>
            <w:tcW w:type="dxa" w:w="5040"/>
          </w:tcPr>
          <w:p>
            <w:r>
              <w:t>adequacy and false success</w:t>
            </w:r>
          </w:p>
        </w:tc>
      </w:tr>
      <w:tr>
        <w:tc>
          <w:tcPr>
            <w:tcW w:type="dxa" w:w="5040"/>
          </w:tcPr>
          <w:p>
            <w:r/>
          </w:p>
        </w:tc>
        <w:tc>
          <w:tcPr>
            <w:tcW w:type="dxa" w:w="5040"/>
          </w:tcPr>
          <w:p>
            <w:r>
              <w:t>execution/realization/Layer-1 mismatch</w:t>
            </w:r>
          </w:p>
        </w:tc>
      </w:tr>
      <w:tr>
        <w:tc>
          <w:tcPr>
            <w:tcW w:type="dxa" w:w="5040"/>
          </w:tcPr>
          <w:p>
            <w:r/>
          </w:p>
        </w:tc>
        <w:tc>
          <w:tcPr>
            <w:tcW w:type="dxa" w:w="5040"/>
          </w:tcPr>
          <w:p>
            <w:r>
              <w:t>replay sufficiency</w:t>
            </w:r>
          </w:p>
        </w:tc>
      </w:tr>
    </w:tbl>
    <w:p>
      <w:pPr>
        <w:pStyle w:val="Heading1"/>
      </w:pPr>
      <w:r>
        <w:t>16. Reproducibility and Trace Requirements</w:t>
      </w:r>
    </w:p>
    <w:p>
      <w:pPr>
        <w:pStyle w:val="ListBullet"/>
      </w:pPr>
      <w:r>
        <w:t>benchmark name/version and source revision;</w:t>
      </w:r>
    </w:p>
    <w:p>
      <w:pPr>
        <w:pStyle w:val="ListBullet"/>
      </w:pPr>
      <w:r>
        <w:t>Framework Version 2.1 and runtime version where used;</w:t>
      </w:r>
    </w:p>
    <w:p>
      <w:pPr>
        <w:pStyle w:val="ListBullet"/>
      </w:pPr>
      <w:r>
        <w:t>configuration and parameter values;</w:t>
      </w:r>
    </w:p>
    <w:p>
      <w:pPr>
        <w:pStyle w:val="ListBullet"/>
      </w:pPr>
      <w:r>
        <w:t>random seed(s) and trial count for stochastic experiments;</w:t>
      </w:r>
    </w:p>
    <w:p>
      <w:pPr>
        <w:pStyle w:val="ListBullet"/>
      </w:pPr>
      <w:r>
        <w:t>initial actual state and relevant perceived/objective state;</w:t>
      </w:r>
    </w:p>
    <w:p>
      <w:pPr>
        <w:pStyle w:val="ListBullet"/>
      </w:pPr>
      <w:r>
        <w:t>controlled perturbation definition;</w:t>
      </w:r>
    </w:p>
    <w:p>
      <w:pPr>
        <w:pStyle w:val="ListBullet"/>
      </w:pPr>
      <w:r>
        <w:t>policy/baseline identity;</w:t>
      </w:r>
    </w:p>
    <w:p>
      <w:pPr>
        <w:pStyle w:val="ListBullet"/>
      </w:pPr>
      <w:r>
        <w:t>decision/runtime trace sufficient to explain admission, refusal, adequacy, selection, and execution where tested;</w:t>
      </w:r>
    </w:p>
    <w:p>
      <w:pPr>
        <w:pStyle w:val="ListBullet"/>
      </w:pPr>
      <w:r>
        <w:t>environmental outcomes and authoritative final-state update;</w:t>
      </w:r>
    </w:p>
    <w:p>
      <w:pPr>
        <w:pStyle w:val="ListBullet"/>
      </w:pPr>
      <w:r>
        <w:t>summary metrics plus raw or reconstructable trial results;</w:t>
      </w:r>
    </w:p>
    <w:p>
      <w:pPr>
        <w:pStyle w:val="ListBullet"/>
      </w:pPr>
      <w:r>
        <w:t>known limitations and excluded framework surfaces.</w:t>
      </w:r>
    </w:p>
    <w:p>
      <w:pPr>
        <w:pStyle w:val="Heading1"/>
      </w:pPr>
      <w:r>
        <w:t>17. Acceptance Criteria</w:t>
      </w:r>
    </w:p>
    <w:p>
      <w:r>
        <w:t>Write acceptance criteria before running the benchmark. A good criterion states an invariant or expected conditional behavior, not merely which policy should 'win.'</w:t>
      </w:r>
    </w:p>
    <w:p>
      <w:pPr>
        <w:pStyle w:val="ListBullet"/>
      </w:pPr>
      <w:r>
        <w:t>An impossible objective never creates a reachable transformation absent capability evidence.</w:t>
      </w:r>
    </w:p>
    <w:p>
      <w:pPr>
        <w:pStyle w:val="ListBullet"/>
      </w:pPr>
      <w:r>
        <w:t>A prohibited-for-use retrieval never becomes authorized positive evidence because confidence is high.</w:t>
      </w:r>
    </w:p>
    <w:p>
      <w:pPr>
        <w:pStyle w:val="ListBullet"/>
      </w:pPr>
      <w:r>
        <w:t>A false-success case is flagged whenever the predeclared visible-success condition coexists with the predeclared governing failure.</w:t>
      </w:r>
    </w:p>
    <w:p>
      <w:pPr>
        <w:pStyle w:val="ListBullet"/>
      </w:pPr>
      <w:r>
        <w:t>The no-objective control preserves the same structural reachability substrate when no other state changes.</w:t>
      </w:r>
    </w:p>
    <w:p>
      <w:pPr>
        <w:pStyle w:val="ListBullet"/>
      </w:pPr>
      <w:r>
        <w:t>A stochastic result is reproducible within the declared seed/configuration protocol.</w:t>
      </w:r>
    </w:p>
    <w:p>
      <w:pPr>
        <w:pStyle w:val="ListBullet"/>
      </w:pPr>
      <w:r>
        <w:t>A benchmark claiming runtime behavior passes through the runtime path rather than a hand-coded substitute.</w:t>
      </w:r>
    </w:p>
    <w:p>
      <w:pPr>
        <w:pStyle w:val="Heading1"/>
      </w:pPr>
      <w:r>
        <w:t>18. Benchmark Specification Checklist</w:t>
      </w:r>
    </w:p>
    <w:p>
      <w:r>
        <w:t>1. Benchmark question / bounded claim</w:t>
      </w:r>
    </w:p>
    <w:p>
      <w:r>
        <w:t>2. Scenario/model source and version</w:t>
      </w:r>
    </w:p>
    <w:p>
      <w:r>
        <w:t>3. Experimental boundary and horizon</w:t>
      </w:r>
    </w:p>
    <w:p>
      <w:r>
        <w:t>4. Actors/entities</w:t>
      </w:r>
    </w:p>
    <w:p>
      <w:r>
        <w:t>5. Actual state basis S_i(t)</w:t>
      </w:r>
    </w:p>
    <w:p>
      <w:r>
        <w:t>6. Perceived decision state P_i(t) if relevant</w:t>
      </w:r>
    </w:p>
    <w:p>
      <w:r>
        <w:t>7. Objective state O_i(t) if relevant</w:t>
      </w:r>
    </w:p>
    <w:p>
      <w:r>
        <w:t>8. Productive Powers</w:t>
      </w:r>
    </w:p>
    <w:p>
      <w:r>
        <w:t>9. PP-enabling resources/mechanisms</w:t>
      </w:r>
    </w:p>
    <w:p>
      <w:r>
        <w:t>10. PV transfers/realizations</w:t>
      </w:r>
    </w:p>
    <w:p>
      <w:r>
        <w:t>11. Governing domains and thresholds</w:t>
      </w:r>
    </w:p>
    <w:p>
      <w:r>
        <w:t>12. Constraints/authority</w:t>
      </w:r>
    </w:p>
    <w:p>
      <w:r>
        <w:t>13. Normal/failure/recovery/substitution/negative corridors as relevant</w:t>
      </w:r>
    </w:p>
    <w:p>
      <w:r>
        <w:t>14. Adequacy definition</w:t>
      </w:r>
    </w:p>
    <w:p>
      <w:r>
        <w:t>15. False-success definition</w:t>
      </w:r>
    </w:p>
    <w:p>
      <w:r>
        <w:t>16. Controlled perturbations</w:t>
      </w:r>
    </w:p>
    <w:p>
      <w:r>
        <w:t>17. Fixed controls</w:t>
      </w:r>
    </w:p>
    <w:p>
      <w:r>
        <w:t>18. Baseline/comparator</w:t>
      </w:r>
    </w:p>
    <w:p>
      <w:r>
        <w:t>19. Runtime integration surfaces, if any</w:t>
      </w:r>
    </w:p>
    <w:p>
      <w:r>
        <w:t>20. Information-governance variables, if any</w:t>
      </w:r>
    </w:p>
    <w:p>
      <w:r>
        <w:t>21. State-sufficiency declaration, if tested</w:t>
      </w:r>
    </w:p>
    <w:p>
      <w:r>
        <w:t>22. Replay evidence package, if tested</w:t>
      </w:r>
    </w:p>
    <w:p>
      <w:r>
        <w:t>23. Ordinary metrics</w:t>
      </w:r>
    </w:p>
    <w:p>
      <w:r>
        <w:t>24. PV-PP observables</w:t>
      </w:r>
    </w:p>
    <w:p>
      <w:r>
        <w:t>25. Acceptance criteria</w:t>
      </w:r>
    </w:p>
    <w:p>
      <w:r>
        <w:t>26. Randomization/reproducibility controls</w:t>
      </w:r>
    </w:p>
    <w:p>
      <w:r>
        <w:t>27. Trace/logging requirements</w:t>
      </w:r>
    </w:p>
    <w:p>
      <w:r>
        <w:t>28. Limitations and excluded claims</w:t>
      </w:r>
    </w:p>
    <w:p>
      <w:pPr>
        <w:pStyle w:val="Heading1"/>
      </w:pPr>
      <w:r>
        <w:t>19. What This Guide Does Not Require</w:t>
      </w:r>
    </w:p>
    <w:p>
      <w:pPr>
        <w:pStyle w:val="ListBullet"/>
      </w:pPr>
      <w:r>
        <w:t>Every benchmark need not implement the full PV-PP operator stack.</w:t>
      </w:r>
    </w:p>
    <w:p>
      <w:pPr>
        <w:pStyle w:val="ListBullet"/>
      </w:pPr>
      <w:r>
        <w:t>A teaching benchmark may isolate one distinction if it clearly says so.</w:t>
      </w:r>
    </w:p>
    <w:p>
      <w:pPr>
        <w:pStyle w:val="ListBullet"/>
      </w:pPr>
      <w:r>
        <w:t>The scalar-reduction proof machinery is not required unless scalar recovery/non-reduction is the experimental question.</w:t>
      </w:r>
    </w:p>
    <w:p>
      <w:pPr>
        <w:pStyle w:val="ListBullet"/>
      </w:pPr>
      <w:r>
        <w:t>Transfer History, memory, replay, objectives, multi-agent structure, or runtime call-through are not mandatory when they are irrelevant to the declared benchmark.</w:t>
      </w:r>
    </w:p>
    <w:p>
      <w:pPr>
        <w:pStyle w:val="ListBullet"/>
      </w:pPr>
      <w:r>
        <w:t>A benchmark does not need to use Runtime V2.1 unless it claims to test runtime behavior or benefits from canonical runtime governance.</w:t>
      </w:r>
    </w:p>
    <w:p>
      <w:pPr>
        <w:pStyle w:val="ListBullet"/>
      </w:pPr>
      <w:r>
        <w:t>A benchmark result is not automatically a framework-level empirical result.</w:t>
      </w:r>
    </w:p>
    <w:p>
      <w:pPr>
        <w:pStyle w:val="Heading1"/>
      </w:pPr>
      <w:r>
        <w:t>20. Minimal Example: Coffee Vending Interaction</w:t>
      </w:r>
    </w:p>
    <w:p>
      <w:r>
        <w:t>A small vending-machine model remains useful for teaching because it separates capabilities, underlying resources, PV transfers, failure, and recovery without requiring a large domain.</w:t>
      </w:r>
    </w:p>
    <w:p>
      <w:pPr>
        <w:pStyle w:val="ListBullet"/>
      </w:pPr>
      <w:r>
        <w:t>PP: buyer purchasing capability; machine payment-acceptance, coffee-dispensing, and refund capabilities.</w:t>
      </w:r>
    </w:p>
    <w:p>
      <w:pPr>
        <w:pStyle w:val="ListBullet"/>
      </w:pPr>
      <w:r>
        <w:t>Underlying state/resources: accessible money, coffee inventory, dispenser condition, payment-system state, refund mechanism.</w:t>
      </w:r>
    </w:p>
    <w:p>
      <w:pPr>
        <w:pStyle w:val="ListBullet"/>
      </w:pPr>
      <w:r>
        <w:t>PV: money transferred to the seller and coffee delivered to the buyer when those transfers actually occur.</w:t>
      </w:r>
    </w:p>
    <w:p>
      <w:pPr>
        <w:pStyle w:val="ListBullet"/>
      </w:pPr>
      <w:r>
        <w:t>Normal corridor: valid payment -&gt; dispense -&gt; receipt -&gt; state update.</w:t>
      </w:r>
    </w:p>
    <w:p>
      <w:pPr>
        <w:pStyle w:val="ListBullet"/>
      </w:pPr>
      <w:r>
        <w:t>Failure corridor: payment accepted -&gt; coffee unavailable or dispense fails.</w:t>
      </w:r>
    </w:p>
    <w:p>
      <w:pPr>
        <w:pStyle w:val="ListBullet"/>
      </w:pPr>
      <w:r>
        <w:t>Recovery corridor: refund obligation -&gt; refund executed -&gt; relevant state restored/updated.</w:t>
      </w:r>
    </w:p>
    <w:p>
      <w:pPr>
        <w:pStyle w:val="ListBullet"/>
      </w:pPr>
      <w:r>
        <w:t>False success: sale recorded while required coffee delivery and required recovery both fail.</w:t>
      </w:r>
    </w:p>
    <w:p>
      <w:r>
        <w:t>The example should remain illustrative. It does not define the ontology for other domains and should not dominate the benchmark guide.</w:t>
      </w:r>
    </w:p>
    <w:p>
      <w:pPr>
        <w:pStyle w:val="Heading1"/>
      </w:pPr>
      <w:r>
        <w:t>21. Relationship to the Small Economy V2.1 Benchmark</w:t>
      </w:r>
    </w:p>
    <w:p>
      <w:r>
        <w:t>The Small Economy V2.1 benchmark is the current controlled reference for objective-interface behavior. Its purpose is not to establish universal economic validity; it demonstrates that attainable, conflicting, impossible, viability-conflicting, capability-development, lifecycle-changing, prohibited-evidence, and no-objective cases can be varied without allowing objectives to become hidden framework authority.</w:t>
      </w:r>
    </w:p>
    <w:p>
      <w:r>
        <w:t>Future benchmarks should follow the same discipline: perturb the declared variable, preserve the frozen framework/runtime rules, and inspect both ordinary outcomes and structural invariants.</w:t>
      </w:r>
    </w:p>
    <w:p>
      <w:pPr>
        <w:pStyle w:val="Heading1"/>
      </w:pPr>
      <w:r>
        <w:t>22. Summary</w:t>
      </w:r>
    </w:p>
    <w:p>
      <w:r>
        <w:t>A PV-PP benchmark should be built from a valid scenario model, a bounded experimental claim, explicit controls, and observable failure/success conditions. It should preserve the roles of actual state, perceived state, objectives, capability, transferred value, viability, authority, information, candidate structure, execution, and recovery rather than collapsing them into one reward score. Runtime V2.1 may provide canonical governance where the experiment needs it, but the benchmark environment and empirical claims remain application-owned. The benchmark succeeds when a reviewer can tell exactly what was tested, why the result occurred, what was held constant, and what the result does not prove.</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Amundsen R&amp;D LLC | Modeling → Evidence / Benchmarking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PV-PP Benchmark Design Guide | Runtime V2.1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