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PV-PP Teaching Benchmark</w:t>
        <w:br/>
        <w:t>Safe Margin vs Fast Gain Gridworld</w:t>
      </w:r>
    </w:p>
    <w:p>
      <w:pPr>
        <w:jc w:val="center"/>
      </w:pPr>
      <w:r>
        <w:rPr>
          <w:b/>
        </w:rPr>
        <w:t>Version 2.1 Reference Design | v1.0</w:t>
      </w:r>
    </w:p>
    <w:p>
      <w:pPr>
        <w:jc w:val="center"/>
      </w:pPr>
      <w:r>
        <w:t>A Narrow Demonstration of Local Gain, Viability Margin, Recovery, and False Success | September 2026</w:t>
      </w:r>
    </w:p>
    <w:p>
      <w:r>
        <w:t>Status and authority: Current teaching/reference benchmark specification. This document does not define canonical PV-PP framework semantics and does not claim to implement the full Version 2.1 operator stack or Runtime v0.141. It is deliberately narrow. Canonical framework and runtime behavior remain controlled by their owning specifications and frozen implementation.</w:t>
      </w:r>
    </w:p>
    <w:p>
      <w:pPr>
        <w:pStyle w:val="Heading1"/>
      </w:pPr>
      <w:r>
        <w:t>1. Benchmark Purpose</w:t>
      </w:r>
    </w:p>
    <w:p>
      <w:r>
        <w:t>The benchmark compares two simple policy styles in a 2D gridworld. A Fast Gain policy seeks immediate visible reward even when doing so reduces the agent's operating margin or access to recovery. A Safe Margin policy accepts slower or smaller immediate gain when necessary to preserve the conditions required for continued action and recovery.</w:t>
      </w:r>
    </w:p>
    <w:p>
      <w:r>
        <w:t>The bounded PV-PP proposition is: task success or local reward is not identical to operational viability. A policy can look successful under a visible score while degrading or destroying the capability and recovery conditions required for continued operation.</w:t>
      </w:r>
    </w:p>
    <w:p>
      <w:pPr>
        <w:pStyle w:val="Heading1"/>
      </w:pPr>
      <w:r>
        <w:t>2. What the Benchmark Does Not Establish</w:t>
      </w:r>
    </w:p>
    <w:p>
      <w:pPr>
        <w:pStyle w:val="ListBullet"/>
      </w:pPr>
      <w:r>
        <w:t>It is not a full implementation or validation of the PV-PP Framework.</w:t>
      </w:r>
    </w:p>
    <w:p>
      <w:pPr>
        <w:pStyle w:val="ListBullet"/>
      </w:pPr>
      <w:r>
        <w:t>It does not implement the complete canonical operator stack, scalar-reduction proof program, information-governance architecture, Transfer History, replay architecture, or agent-governance runtime.</w:t>
      </w:r>
    </w:p>
    <w:p>
      <w:pPr>
        <w:pStyle w:val="ListBullet"/>
      </w:pPr>
      <w:r>
        <w:t>It does not show that a safe-margin policy is universally preferable to a fast-gain policy.</w:t>
      </w:r>
    </w:p>
    <w:p>
      <w:pPr>
        <w:pStyle w:val="ListBullet"/>
      </w:pPr>
      <w:r>
        <w:t>It does not show that conventional reinforcement learning, constrained optimization, viability theory, reachability, or safety-control methods cannot represent the same distinction.</w:t>
      </w:r>
    </w:p>
    <w:p>
      <w:pPr>
        <w:pStyle w:val="ListBullet"/>
      </w:pPr>
      <w:r>
        <w:t>It does not model real AI tool use, institutional authority, legal/compliance conditions, multi-agent strategic behavior, or live environmental sensing.</w:t>
      </w:r>
    </w:p>
    <w:p>
      <w:pPr>
        <w:pStyle w:val="ListBullet"/>
      </w:pPr>
      <w:r>
        <w:t>Its value is pedagogical: it makes reward/task success, capability, viability margin, recovery access, and false success visibly separable.</w:t>
      </w:r>
    </w:p>
    <w:p>
      <w:pPr>
        <w:pStyle w:val="Heading1"/>
      </w:pPr>
      <w:r>
        <w:t>3. Minimal PV-PP Mapping</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Concept</w:t>
            </w:r>
          </w:p>
        </w:tc>
        <w:tc>
          <w:tcPr>
            <w:tcW w:type="dxa" w:w="3360"/>
          </w:tcPr>
          <w:p>
            <w:r>
              <w:rPr>
                <w:b/>
              </w:rPr>
              <w:t>Gridworld representation</w:t>
            </w:r>
          </w:p>
        </w:tc>
        <w:tc>
          <w:tcPr>
            <w:tcW w:type="dxa" w:w="3360"/>
          </w:tcPr>
          <w:p>
            <w:r>
              <w:rPr>
                <w:b/>
              </w:rPr>
              <w:t>Boundary</w:t>
            </w:r>
          </w:p>
        </w:tc>
      </w:tr>
      <w:tr>
        <w:tc>
          <w:tcPr>
            <w:tcW w:type="dxa" w:w="3360"/>
            <w:vAlign w:val="top"/>
          </w:tcPr>
          <w:p>
            <w:r>
              <w:t>Actual state</w:t>
            </w:r>
          </w:p>
        </w:tc>
        <w:tc>
          <w:tcPr>
            <w:tcW w:type="dxa" w:w="3360"/>
            <w:vAlign w:val="top"/>
          </w:tcPr>
          <w:p>
            <w:r>
              <w:t>Position, energy, step count, alive/failed status, visited cells; optionally risk exposure and recovery distance.</w:t>
            </w:r>
          </w:p>
        </w:tc>
        <w:tc>
          <w:tcPr>
            <w:tcW w:type="dxa" w:w="3360"/>
            <w:vAlign w:val="top"/>
          </w:tcPr>
          <w:p>
            <w:r>
              <w:t>These variables are typed state. They are not all PP.</w:t>
            </w:r>
          </w:p>
        </w:tc>
      </w:tr>
      <w:tr>
        <w:tc>
          <w:tcPr>
            <w:tcW w:type="dxa" w:w="3360"/>
            <w:vAlign w:val="top"/>
          </w:tcPr>
          <w:p>
            <w:r>
              <w:t>Productive Power</w:t>
            </w:r>
          </w:p>
        </w:tc>
        <w:tc>
          <w:tcPr>
            <w:tcW w:type="dxa" w:w="3360"/>
            <w:vAlign w:val="top"/>
          </w:tcPr>
          <w:p>
            <w:r>
              <w:t>Current capability to continue acting and, where required, reach/use recovery.</w:t>
            </w:r>
          </w:p>
        </w:tc>
        <w:tc>
          <w:tcPr>
            <w:tcW w:type="dxa" w:w="3360"/>
            <w:vAlign w:val="top"/>
          </w:tcPr>
          <w:p>
            <w:r>
              <w:t>Energy, position, safety margin, and recovery reachability help determine capability but are not automatically PP themselves.</w:t>
            </w:r>
          </w:p>
        </w:tc>
      </w:tr>
      <w:tr>
        <w:tc>
          <w:tcPr>
            <w:tcW w:type="dxa" w:w="3360"/>
            <w:vAlign w:val="top"/>
          </w:tcPr>
          <w:p>
            <w:r>
              <w:t>Productive Value</w:t>
            </w:r>
          </w:p>
        </w:tc>
        <w:tc>
          <w:tcPr>
            <w:tcW w:type="dxa" w:w="3360"/>
            <w:vAlign w:val="top"/>
          </w:tcPr>
          <w:p>
            <w:r>
              <w:t>Modeled value actually acquired/realized or imposed through environment interaction, where the benchmark explicitly qualifies it.</w:t>
            </w:r>
          </w:p>
        </w:tc>
        <w:tc>
          <w:tcPr>
            <w:tcW w:type="dxa" w:w="3360"/>
            <w:vAlign w:val="top"/>
          </w:tcPr>
          <w:p>
            <w:r>
              <w:t>Score is an ordinary metric unless reward tokens are explicitly defined as modeled value; viability margin is not PV merely because it matters.</w:t>
            </w:r>
          </w:p>
        </w:tc>
      </w:tr>
      <w:tr>
        <w:tc>
          <w:tcPr>
            <w:tcW w:type="dxa" w:w="3360"/>
            <w:vAlign w:val="top"/>
          </w:tcPr>
          <w:p>
            <w:r>
              <w:t>Viability / governing condition</w:t>
            </w:r>
          </w:p>
        </w:tc>
        <w:tc>
          <w:tcPr>
            <w:tcW w:type="dxa" w:w="3360"/>
            <w:vAlign w:val="top"/>
          </w:tcPr>
          <w:p>
            <w:r>
              <w:t>Energy above failure level; optionally risk limit, minimum reserve, and recovery reachability.</w:t>
            </w:r>
          </w:p>
        </w:tc>
        <w:tc>
          <w:tcPr>
            <w:tcW w:type="dxa" w:w="3360"/>
            <w:vAlign w:val="top"/>
          </w:tcPr>
          <w:p>
            <w:r>
              <w:t>A governing variable need not be PV or PP.</w:t>
            </w:r>
          </w:p>
        </w:tc>
      </w:tr>
      <w:tr>
        <w:tc>
          <w:tcPr>
            <w:tcW w:type="dxa" w:w="3360"/>
            <w:vAlign w:val="top"/>
          </w:tcPr>
          <w:p>
            <w:r>
              <w:t>Corridor</w:t>
            </w:r>
          </w:p>
        </w:tc>
        <w:tc>
          <w:tcPr>
            <w:tcW w:type="dxa" w:w="3360"/>
            <w:vAlign w:val="top"/>
          </w:tcPr>
          <w:p>
            <w:r>
              <w:t>Normal, risky/negative, recovery, or alternative route through the grid.</w:t>
            </w:r>
          </w:p>
        </w:tc>
        <w:tc>
          <w:tcPr>
            <w:tcW w:type="dxa" w:w="3360"/>
            <w:vAlign w:val="top"/>
          </w:tcPr>
          <w:p>
            <w:r>
              <w:t>A corridor is a teaching abstraction, not a replacement for canonical Graph/Π/runtime semantics.</w:t>
            </w:r>
          </w:p>
        </w:tc>
      </w:tr>
      <w:tr>
        <w:tc>
          <w:tcPr>
            <w:tcW w:type="dxa" w:w="3360"/>
            <w:vAlign w:val="top"/>
          </w:tcPr>
          <w:p>
            <w:r>
              <w:t>False success</w:t>
            </w:r>
          </w:p>
        </w:tc>
        <w:tc>
          <w:tcPr>
            <w:tcW w:type="dxa" w:w="3360"/>
            <w:vAlign w:val="top"/>
          </w:tcPr>
          <w:p>
            <w:r>
              <w:t>Visible reward/goal success accompanied by a predeclared governing viability or recovery failure.</w:t>
            </w:r>
          </w:p>
        </w:tc>
        <w:tc>
          <w:tcPr>
            <w:tcW w:type="dxa" w:w="3360"/>
            <w:vAlign w:val="top"/>
          </w:tcPr>
          <w:p>
            <w:r>
              <w:t>Must be defined independently of the score being criticized.</w:t>
            </w:r>
          </w:p>
        </w:tc>
      </w:tr>
      <w:tr>
        <w:tc>
          <w:tcPr>
            <w:tcW w:type="dxa" w:w="3360"/>
            <w:vAlign w:val="top"/>
          </w:tcPr>
          <w:p>
            <w:r>
              <w:t>Perceived state</w:t>
            </w:r>
          </w:p>
        </w:tc>
        <w:tc>
          <w:tcPr>
            <w:tcW w:type="dxa" w:w="3360"/>
            <w:vAlign w:val="top"/>
          </w:tcPr>
          <w:p>
            <w:r>
              <w:t>Optional imperfect observation of energy, hazards, or recovery access.</w:t>
            </w:r>
          </w:p>
        </w:tc>
        <w:tc>
          <w:tcPr>
            <w:tcW w:type="dxa" w:w="3360"/>
            <w:vAlign w:val="top"/>
          </w:tcPr>
          <w:p>
            <w:r>
              <w:t>Only add if perception error is part of the experiment.</w:t>
            </w:r>
          </w:p>
        </w:tc>
      </w:tr>
      <w:tr>
        <w:tc>
          <w:tcPr>
            <w:tcW w:type="dxa" w:w="3360"/>
            <w:vAlign w:val="top"/>
          </w:tcPr>
          <w:p>
            <w:r>
              <w:t>Objective</w:t>
            </w:r>
          </w:p>
        </w:tc>
        <w:tc>
          <w:tcPr>
            <w:tcW w:type="dxa" w:w="3360"/>
            <w:vAlign w:val="top"/>
          </w:tcPr>
          <w:p>
            <w:r>
              <w:t>Optional explicit goal such as reach destination or collect target value.</w:t>
            </w:r>
          </w:p>
        </w:tc>
        <w:tc>
          <w:tcPr>
            <w:tcW w:type="dxa" w:w="3360"/>
            <w:vAlign w:val="top"/>
          </w:tcPr>
          <w:p>
            <w:r>
              <w:t>If added, keep it separate from state and do not treat it as framework authority.</w:t>
            </w:r>
          </w:p>
        </w:tc>
      </w:tr>
    </w:tbl>
    <w:p>
      <w:pPr>
        <w:pStyle w:val="Heading1"/>
      </w:pPr>
      <w:r>
        <w:t>4. Environment</w:t>
      </w:r>
    </w:p>
    <w:p>
      <w:pPr>
        <w:pStyle w:val="Heading2"/>
      </w:pPr>
      <w:r>
        <w:t>4.1 Grid</w:t>
      </w:r>
    </w:p>
    <w:p>
      <w:r>
        <w:t>Use a rectangular 2D grid. The smallest useful maps should contain at least one tempting high-gain route and one lower-gain route that preserves greater operating or recovery margin.</w:t>
      </w:r>
    </w:p>
    <w:p>
      <w:pPr>
        <w:pStyle w:val="Heading2"/>
      </w:pPr>
      <w:r>
        <w:t>4.2 Cell types</w:t>
      </w:r>
    </w:p>
    <w:p>
      <w:pPr>
        <w:pStyle w:val="ListBullet"/>
      </w:pPr>
      <w:r>
        <w:t>EMPTY: traversable cell with ordinary movement cost.</w:t>
      </w:r>
    </w:p>
    <w:p>
      <w:pPr>
        <w:pStyle w:val="ListBullet"/>
      </w:pPr>
      <w:r>
        <w:t>REWARD: provides visible score and, if explicitly qualified, a modeled PV realization.</w:t>
      </w:r>
    </w:p>
    <w:p>
      <w:pPr>
        <w:pStyle w:val="ListBullet"/>
      </w:pPr>
      <w:r>
        <w:t>HIGH_GAIN_RISKY: larger immediate visible gain with increased energy/risk/recovery cost.</w:t>
      </w:r>
    </w:p>
    <w:p>
      <w:pPr>
        <w:pStyle w:val="ListBullet"/>
      </w:pPr>
      <w:r>
        <w:t>LOW_GAIN_SAFE: smaller visible gain with lower viability cost.</w:t>
      </w:r>
    </w:p>
    <w:p>
      <w:pPr>
        <w:pStyle w:val="ListBullet"/>
      </w:pPr>
      <w:r>
        <w:t>HAZARD: imposes extra energy loss or risk exposure.</w:t>
      </w:r>
    </w:p>
    <w:p>
      <w:pPr>
        <w:pStyle w:val="ListBullet"/>
      </w:pPr>
      <w:r>
        <w:t>RECOVERY: restores energy or another declared recovery variable.</w:t>
      </w:r>
    </w:p>
    <w:p>
      <w:pPr>
        <w:pStyle w:val="ListBullet"/>
      </w:pPr>
      <w:r>
        <w:t>OBSTACLE: non-traversable.</w:t>
      </w:r>
    </w:p>
    <w:p>
      <w:pPr>
        <w:pStyle w:val="ListBullet"/>
      </w:pPr>
      <w:r>
        <w:t>GOAL: terminal or task-success location.</w:t>
      </w:r>
    </w:p>
    <w:p>
      <w:pPr>
        <w:pStyle w:val="Heading2"/>
      </w:pPr>
      <w:r>
        <w:t>4.3 Agent state</w:t>
      </w:r>
    </w:p>
    <w:p>
      <w:pPr>
        <w:pStyle w:val="ListBullet"/>
      </w:pPr>
      <w:r>
        <w:t>position: (x, y);</w:t>
      </w:r>
    </w:p>
    <w:p>
      <w:pPr>
        <w:pStyle w:val="ListBullet"/>
      </w:pPr>
      <w:r>
        <w:t>energy: numeric current energy/reserve;</w:t>
      </w:r>
    </w:p>
    <w:p>
      <w:pPr>
        <w:pStyle w:val="ListBullet"/>
      </w:pPr>
      <w:r>
        <w:t>score: ordinary visible performance metric;</w:t>
      </w:r>
    </w:p>
    <w:p>
      <w:pPr>
        <w:pStyle w:val="ListBullet"/>
      </w:pPr>
      <w:r>
        <w:t>step_count;</w:t>
      </w:r>
    </w:p>
    <w:p>
      <w:pPr>
        <w:pStyle w:val="ListBullet"/>
      </w:pPr>
      <w:r>
        <w:t>alive_or_failed;</w:t>
      </w:r>
    </w:p>
    <w:p>
      <w:pPr>
        <w:pStyle w:val="ListBullet"/>
      </w:pPr>
      <w:r>
        <w:t>visited_cells;</w:t>
      </w:r>
    </w:p>
    <w:p>
      <w:pPr>
        <w:pStyle w:val="ListBullet"/>
      </w:pPr>
      <w:r>
        <w:t>optional risk_exposure;</w:t>
      </w:r>
    </w:p>
    <w:p>
      <w:pPr>
        <w:pStyle w:val="ListBullet"/>
      </w:pPr>
      <w:r>
        <w:t>optional distance_to_recovery or recovery_reachable;</w:t>
      </w:r>
    </w:p>
    <w:p>
      <w:pPr>
        <w:pStyle w:val="ListBullet"/>
      </w:pPr>
      <w:r>
        <w:t>optional last_action and trajectory_history.</w:t>
      </w:r>
    </w:p>
    <w:p>
      <w:pPr>
        <w:pStyle w:val="Heading1"/>
      </w:pPr>
      <w:r>
        <w:t>5. Actions and Transition Rules</w:t>
      </w:r>
    </w:p>
    <w:p>
      <w:pPr>
        <w:pStyle w:val="ListBullet"/>
      </w:pPr>
      <w:r>
        <w:t>Core actions: UP, DOWN, LEFT, RIGHT, STAY.</w:t>
      </w:r>
    </w:p>
    <w:p>
      <w:pPr>
        <w:pStyle w:val="ListBullet"/>
      </w:pPr>
      <w:r>
        <w:t>Optional actions: RECOVER, COLLECT, WAIT where the map semantics require them.</w:t>
      </w:r>
    </w:p>
    <w:p>
      <w:pPr>
        <w:pStyle w:val="ListBullet"/>
      </w:pPr>
      <w:r>
        <w:t>Ordinary movement consumes a declared energy cost.</w:t>
      </w:r>
    </w:p>
    <w:p>
      <w:pPr>
        <w:pStyle w:val="ListBullet"/>
      </w:pPr>
      <w:r>
        <w:t>Hazard entry imposes additional declared cost.</w:t>
      </w:r>
    </w:p>
    <w:p>
      <w:pPr>
        <w:pStyle w:val="ListBullet"/>
      </w:pPr>
      <w:r>
        <w:t>Reward/high-gain entry changes score according to the configured reward.</w:t>
      </w:r>
    </w:p>
    <w:p>
      <w:pPr>
        <w:pStyle w:val="ListBullet"/>
      </w:pPr>
      <w:r>
        <w:t>Recovery entry restores energy or other declared recovery capacity up to a configured bound.</w:t>
      </w:r>
    </w:p>
    <w:p>
      <w:pPr>
        <w:pStyle w:val="ListBullet"/>
      </w:pPr>
      <w:r>
        <w:t>Obstacle entry is invalid.</w:t>
      </w:r>
    </w:p>
    <w:p>
      <w:pPr>
        <w:pStyle w:val="ListBullet"/>
      </w:pPr>
      <w:r>
        <w:t>Energy at or below the configured failure threshold produces failure.</w:t>
      </w:r>
    </w:p>
    <w:p>
      <w:pPr>
        <w:pStyle w:val="ListBullet"/>
      </w:pPr>
      <w:r>
        <w:t>The environment—not the policy—owns authoritative state transition.</w:t>
      </w:r>
    </w:p>
    <w:p>
      <w:r>
        <w:t>Keep all transition parameters explicit in configuration so that experiments can vary reward, hazard severity, movement cost, recovery strength, and reserve thresholds without rewriting policy logic.</w:t>
      </w:r>
    </w:p>
    <w:p>
      <w:pPr>
        <w:pStyle w:val="Heading1"/>
      </w:pPr>
      <w:r>
        <w:t>6. Termination Conditions</w:t>
      </w:r>
    </w:p>
    <w:p>
      <w:pPr>
        <w:pStyle w:val="ListBullet"/>
      </w:pPr>
      <w:r>
        <w:t>goal reached;</w:t>
      </w:r>
    </w:p>
    <w:p>
      <w:pPr>
        <w:pStyle w:val="ListBullet"/>
      </w:pPr>
      <w:r>
        <w:t>agent failure;</w:t>
      </w:r>
    </w:p>
    <w:p>
      <w:pPr>
        <w:pStyle w:val="ListBullet"/>
      </w:pPr>
      <w:r>
        <w:t>maximum step count reached;</w:t>
      </w:r>
    </w:p>
    <w:p>
      <w:pPr>
        <w:pStyle w:val="ListBullet"/>
      </w:pPr>
      <w:r>
        <w:t>no viable/legal moves remain;</w:t>
      </w:r>
    </w:p>
    <w:p>
      <w:pPr>
        <w:pStyle w:val="ListBullet"/>
      </w:pPr>
      <w:r>
        <w:t>optional benchmark-specific terminal condition such as unrecoverable corridor loss.</w:t>
      </w:r>
    </w:p>
    <w:p>
      <w:pPr>
        <w:pStyle w:val="Heading1"/>
      </w:pPr>
      <w:r>
        <w:t>7. Policy A: Fast Gain</w:t>
      </w:r>
    </w:p>
    <w:p>
      <w:r>
        <w:t>The Fast Gain policy favors immediate visible reward or shortest path to a high-value tile/goal. It may consider obstacles and immediate legality, but in its simplest form it does not reserve enough margin for future recovery.</w:t>
      </w:r>
    </w:p>
    <w:p>
      <w:pPr>
        <w:pStyle w:val="ListBullet"/>
      </w:pPr>
      <w:r>
        <w:t>Primary ranking signal: immediate or near-term score gain.</w:t>
      </w:r>
    </w:p>
    <w:p>
      <w:pPr>
        <w:pStyle w:val="ListBullet"/>
      </w:pPr>
      <w:r>
        <w:t>Tie-breaking: shortest distance or lowest immediate movement cost.</w:t>
      </w:r>
    </w:p>
    <w:p>
      <w:pPr>
        <w:pStyle w:val="ListBullet"/>
      </w:pPr>
      <w:r>
        <w:t>Optional limited hazard awareness may be included, but should not turn the policy into the Safe Margin policy.</w:t>
      </w:r>
    </w:p>
    <w:p>
      <w:pPr>
        <w:pStyle w:val="ListBullet"/>
      </w:pPr>
      <w:r>
        <w:t>The policy is a deliberately narrow baseline, not a claim about all reward-maximizing or optimization methods.</w:t>
      </w:r>
    </w:p>
    <w:p>
      <w:pPr>
        <w:pStyle w:val="Heading1"/>
      </w:pPr>
      <w:r>
        <w:t>8. Policy B: Safe Margin</w:t>
      </w:r>
    </w:p>
    <w:p>
      <w:r>
        <w:t>The Safe Margin policy requires the candidate move to preserve declared viability/recovery conditions before choosing among the remaining actions. It may then prefer reward within the surviving set.</w:t>
      </w:r>
    </w:p>
    <w:p>
      <w:pPr>
        <w:pStyle w:val="ListBullet"/>
      </w:pPr>
      <w:r>
        <w:t>Reject or deprioritize moves that cross the declared failure/reserve boundary.</w:t>
      </w:r>
    </w:p>
    <w:p>
      <w:pPr>
        <w:pStyle w:val="ListBullet"/>
      </w:pPr>
      <w:r>
        <w:t>Preserve access to a recovery cell/path where the benchmark defines recovery access as governing.</w:t>
      </w:r>
    </w:p>
    <w:p>
      <w:pPr>
        <w:pStyle w:val="ListBullet"/>
      </w:pPr>
      <w:r>
        <w:t>Prefer actions with sufficient projected post-move energy margin.</w:t>
      </w:r>
    </w:p>
    <w:p>
      <w:pPr>
        <w:pStyle w:val="ListBullet"/>
      </w:pPr>
      <w:r>
        <w:t>Within equally viable alternatives, ordinary reward may still guide choice.</w:t>
      </w:r>
    </w:p>
    <w:p>
      <w:r>
        <w:t>This policy is not the PV-PP canonical selector. It is a teaching heuristic that makes the viability distinction visible.</w:t>
      </w:r>
    </w:p>
    <w:p>
      <w:pPr>
        <w:pStyle w:val="Heading1"/>
      </w:pPr>
      <w:r>
        <w:t>9. Optional PV-PP-Inspired Heuristic</w:t>
      </w:r>
    </w:p>
    <w:p>
      <w:r>
        <w:t>A third policy may be used for teaching or ablation. For each candidate move, compute or classify projected post-move energy, hazard exposure, recovery reachability, and task gain. First preserve predeclared governing conditions; then compare the remaining actions using the benchmark's bounded rule.</w:t>
      </w:r>
    </w:p>
    <w:p>
      <w:r>
        <w:t>Do not label this heuristic 'the PV-PP algorithm.' It is only one application-level policy inspired by the framework.</w:t>
      </w:r>
    </w:p>
    <w:p>
      <w:pPr>
        <w:pStyle w:val="Heading1"/>
      </w:pPr>
      <w:r>
        <w:t>10. Governing Conditions</w:t>
      </w:r>
    </w:p>
    <w:p>
      <w:r>
        <w:t>At least one viability condition must be declared before a run. Recommended options are:</w:t>
      </w:r>
    </w:p>
    <w:p>
      <w:pPr>
        <w:pStyle w:val="ListBullet"/>
      </w:pPr>
      <w:r>
        <w:t>hard failure: energy &gt; 0;</w:t>
      </w:r>
    </w:p>
    <w:p>
      <w:pPr>
        <w:pStyle w:val="ListBullet"/>
      </w:pPr>
      <w:r>
        <w:t>reserve margin: projected energy &gt;= configured minimum;</w:t>
      </w:r>
    </w:p>
    <w:p>
      <w:pPr>
        <w:pStyle w:val="ListBullet"/>
      </w:pPr>
      <w:r>
        <w:t>risk exposure &lt;= configured maximum;</w:t>
      </w:r>
    </w:p>
    <w:p>
      <w:pPr>
        <w:pStyle w:val="ListBullet"/>
      </w:pPr>
      <w:r>
        <w:t>recovery reachability: at least one recovery cell remains reachable under the benchmark's reachability rule;</w:t>
      </w:r>
    </w:p>
    <w:p>
      <w:pPr>
        <w:pStyle w:val="ListBullet"/>
      </w:pPr>
      <w:r>
        <w:t>post-goal viability: if continued operation is part of the scenario, reaching the goal does not waive the required residual margin.</w:t>
      </w:r>
    </w:p>
    <w:p>
      <w:r>
        <w:t>The benchmark should distinguish a hard terminal failure from a reserve-margin violation. Crossing a conservative reserve threshold need not mean the agent is physically dead; it means the declared viability condition has been lost.</w:t>
      </w:r>
    </w:p>
    <w:p>
      <w:pPr>
        <w:pStyle w:val="Heading1"/>
      </w:pPr>
      <w:r>
        <w:t>11. False Success Definition</w:t>
      </w:r>
    </w:p>
    <w:p>
      <w:r>
        <w:t>A run is classified as false success only when a predeclared visible-success condition is satisfied while a separately predeclared governing condition fails.</w:t>
      </w:r>
    </w:p>
    <w:p>
      <w:pPr>
        <w:pStyle w:val="ListBullet"/>
      </w:pPr>
      <w:r>
        <w:t>high score achieved but energy falls below the required operating margin;</w:t>
      </w:r>
    </w:p>
    <w:p>
      <w:pPr>
        <w:pStyle w:val="ListBullet"/>
      </w:pPr>
      <w:r>
        <w:t>goal reached but no required recovery route remains;</w:t>
      </w:r>
    </w:p>
    <w:p>
      <w:pPr>
        <w:pStyle w:val="ListBullet"/>
      </w:pPr>
      <w:r>
        <w:t>high-gain tile collected but the agent subsequently cannot reach the goal or recovery;</w:t>
      </w:r>
    </w:p>
    <w:p>
      <w:pPr>
        <w:pStyle w:val="ListBullet"/>
      </w:pPr>
      <w:r>
        <w:t>task completion recorded while the configured governing risk threshold is exceeded.</w:t>
      </w:r>
    </w:p>
    <w:p>
      <w:r>
        <w:t>Do not define false success after seeing the results. The visible-success and governing-failure criteria belong in the benchmark configuration or experiment specification before execution.</w:t>
      </w:r>
    </w:p>
    <w:p>
      <w:pPr>
        <w:pStyle w:val="Heading1"/>
      </w:pPr>
      <w:r>
        <w:t>12. Core Metrics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Ordinary task metrics</w:t>
            </w:r>
          </w:p>
        </w:tc>
        <w:tc>
          <w:tcPr>
            <w:tcW w:type="dxa" w:w="5040"/>
          </w:tcPr>
          <w:p>
            <w:r>
              <w:rPr>
                <w:b/>
              </w:rPr>
              <w:t>PV-PP-relevant viability/capability observables</w:t>
            </w:r>
          </w:p>
        </w:tc>
      </w:tr>
      <w:tr>
        <w:tc>
          <w:tcPr>
            <w:tcW w:type="dxa" w:w="5040"/>
          </w:tcPr>
          <w:p>
            <w:r>
              <w:t>total score</w:t>
            </w:r>
          </w:p>
        </w:tc>
        <w:tc>
          <w:tcPr>
            <w:tcW w:type="dxa" w:w="5040"/>
          </w:tcPr>
          <w:p>
            <w:r>
              <w:t>survival/failure rate</w:t>
            </w:r>
          </w:p>
        </w:tc>
      </w:tr>
      <w:tr>
        <w:tc>
          <w:tcPr>
            <w:tcW w:type="dxa" w:w="5040"/>
          </w:tcPr>
          <w:p>
            <w:r>
              <w:t>goal completion rate</w:t>
            </w:r>
          </w:p>
        </w:tc>
        <w:tc>
          <w:tcPr>
            <w:tcW w:type="dxa" w:w="5040"/>
          </w:tcPr>
          <w:p>
            <w:r>
              <w:t>minimum energy</w:t>
            </w:r>
          </w:p>
        </w:tc>
      </w:tr>
      <w:tr>
        <w:tc>
          <w:tcPr>
            <w:tcW w:type="dxa" w:w="5040"/>
          </w:tcPr>
          <w:p>
            <w:r>
              <w:t>steps to goal</w:t>
            </w:r>
          </w:p>
        </w:tc>
        <w:tc>
          <w:tcPr>
            <w:tcW w:type="dxa" w:w="5040"/>
          </w:tcPr>
          <w:p>
            <w:r>
              <w:t>minimum reserve margin</w:t>
            </w:r>
          </w:p>
        </w:tc>
      </w:tr>
      <w:tr>
        <w:tc>
          <w:tcPr>
            <w:tcW w:type="dxa" w:w="5040"/>
          </w:tcPr>
          <w:p>
            <w:r>
              <w:t>reward collected</w:t>
            </w:r>
          </w:p>
        </w:tc>
        <w:tc>
          <w:tcPr>
            <w:tcW w:type="dxa" w:w="5040"/>
          </w:tcPr>
          <w:p>
            <w:r>
              <w:t>recovery reachability loss</w:t>
            </w:r>
          </w:p>
        </w:tc>
      </w:tr>
      <w:tr>
        <w:tc>
          <w:tcPr>
            <w:tcW w:type="dxa" w:w="5040"/>
          </w:tcPr>
          <w:p>
            <w:r>
              <w:t>episode length</w:t>
            </w:r>
          </w:p>
        </w:tc>
        <w:tc>
          <w:tcPr>
            <w:tcW w:type="dxa" w:w="5040"/>
          </w:tcPr>
          <w:p>
            <w:r>
              <w:t>time/steps without recovery corridor</w:t>
            </w:r>
          </w:p>
        </w:tc>
      </w:tr>
      <w:tr>
        <w:tc>
          <w:tcPr>
            <w:tcW w:type="dxa" w:w="5040"/>
          </w:tcPr>
          <w:p>
            <w:r/>
          </w:p>
        </w:tc>
        <w:tc>
          <w:tcPr>
            <w:tcW w:type="dxa" w:w="5040"/>
          </w:tcPr>
          <w:p>
            <w:r>
              <w:t>capability-to-continue status</w:t>
            </w:r>
          </w:p>
        </w:tc>
      </w:tr>
      <w:tr>
        <w:tc>
          <w:tcPr>
            <w:tcW w:type="dxa" w:w="5040"/>
          </w:tcPr>
          <w:p>
            <w:r/>
          </w:p>
        </w:tc>
        <w:tc>
          <w:tcPr>
            <w:tcW w:type="dxa" w:w="5040"/>
          </w:tcPr>
          <w:p>
            <w:r>
              <w:t>false-success rate</w:t>
            </w:r>
          </w:p>
        </w:tc>
      </w:tr>
      <w:tr>
        <w:tc>
          <w:tcPr>
            <w:tcW w:type="dxa" w:w="5040"/>
          </w:tcPr>
          <w:p>
            <w:r/>
          </w:p>
        </w:tc>
        <w:tc>
          <w:tcPr>
            <w:tcW w:type="dxa" w:w="5040"/>
          </w:tcPr>
          <w:p>
            <w:r>
              <w:t>terminal viable state rate</w:t>
            </w:r>
          </w:p>
        </w:tc>
      </w:tr>
    </w:tbl>
    <w:p>
      <w:pPr>
        <w:pStyle w:val="Heading1"/>
      </w:pPr>
      <w:r>
        <w:t>13. Experimental Program</w:t>
      </w:r>
    </w:p>
    <w:p>
      <w:pPr>
        <w:pStyle w:val="Heading2"/>
      </w:pPr>
      <w:r>
        <w:t>13.1 Single-run demonstration</w:t>
      </w:r>
    </w:p>
    <w:p>
      <w:r>
        <w:t>Use one deterministic map where the high-gain route visibly consumes more operating margin than the safe route. Plot or print both trajectories and their state traces.</w:t>
      </w:r>
    </w:p>
    <w:p>
      <w:pPr>
        <w:pStyle w:val="Heading2"/>
      </w:pPr>
      <w:r>
        <w:t>13.2 Monte Carlo comparison</w:t>
      </w:r>
    </w:p>
    <w:p>
      <w:r>
        <w:t>Run both policies across randomized hazard/reward placements or stochastic transition costs using identical seed sets. A reasonable teaching default is 100 episodes per policy, but the trial count should be declared rather than treated as canonical.</w:t>
      </w:r>
    </w:p>
    <w:p>
      <w:pPr>
        <w:pStyle w:val="Heading2"/>
      </w:pPr>
      <w:r>
        <w:t>13.3 Parameter sweep</w:t>
      </w:r>
    </w:p>
    <w:p>
      <w:pPr>
        <w:pStyle w:val="ListBullet"/>
      </w:pPr>
      <w:r>
        <w:t>high-gain reward magnitude;</w:t>
      </w:r>
    </w:p>
    <w:p>
      <w:pPr>
        <w:pStyle w:val="ListBullet"/>
      </w:pPr>
      <w:r>
        <w:t>hazard cost;</w:t>
      </w:r>
    </w:p>
    <w:p>
      <w:pPr>
        <w:pStyle w:val="ListBullet"/>
      </w:pPr>
      <w:r>
        <w:t>movement energy cost;</w:t>
      </w:r>
    </w:p>
    <w:p>
      <w:pPr>
        <w:pStyle w:val="ListBullet"/>
      </w:pPr>
      <w:r>
        <w:t>initial energy;</w:t>
      </w:r>
    </w:p>
    <w:p>
      <w:pPr>
        <w:pStyle w:val="ListBullet"/>
      </w:pPr>
      <w:r>
        <w:t>minimum reserve threshold;</w:t>
      </w:r>
    </w:p>
    <w:p>
      <w:pPr>
        <w:pStyle w:val="ListBullet"/>
      </w:pPr>
      <w:r>
        <w:t>recovery strength;</w:t>
      </w:r>
    </w:p>
    <w:p>
      <w:pPr>
        <w:pStyle w:val="ListBullet"/>
      </w:pPr>
      <w:r>
        <w:t>recovery density/distance;</w:t>
      </w:r>
    </w:p>
    <w:p>
      <w:pPr>
        <w:pStyle w:val="ListBullet"/>
      </w:pPr>
      <w:r>
        <w:t>stochastic failure or cost variance where used.</w:t>
      </w:r>
    </w:p>
    <w:p>
      <w:r>
        <w:t>The important result is the regime map: identify where the policies behave similarly, where immediate gain is harmless, and where visible gain diverges from the declared viability/recovery criteria.</w:t>
      </w:r>
    </w:p>
    <w:p>
      <w:pPr>
        <w:pStyle w:val="Heading1"/>
      </w:pPr>
      <w:r>
        <w:t>14. Expected Qualitative Pattern</w:t>
      </w:r>
    </w:p>
    <w:p>
      <w:r>
        <w:t>The benchmark is designed so that some parameter regimes should produce no meaningful conflict: when resources are abundant and hazards weak, both policies may reach the goal and remain viable. In tighter regimes, Fast Gain may obtain more visible reward while producing lower reserve, greater failure, or loss of recovery. In other regimes the high-gain route may genuinely be both higher-reward and viable.</w:t>
      </w:r>
    </w:p>
    <w:p>
      <w:r>
        <w:t>That variation is important. The benchmark is not successful because Safe Margin 'wins.' It is successful if it exposes when ordinary reward/task metrics and the independently declared viability conditions agree and when they diverge.</w:t>
      </w:r>
    </w:p>
    <w:p>
      <w:pPr>
        <w:pStyle w:val="Heading1"/>
      </w:pPr>
      <w:r>
        <w:t>15. Suggested Code Modules</w:t>
      </w:r>
    </w:p>
    <w:p>
      <w:pPr>
        <w:pStyle w:val="ListBullet"/>
      </w:pPr>
      <w:r>
        <w:t>config.py — map parameters, energy/reward/hazard/recovery settings, seeds, thresholds;</w:t>
      </w:r>
    </w:p>
    <w:p>
      <w:pPr>
        <w:pStyle w:val="ListBullet"/>
      </w:pPr>
      <w:r>
        <w:t>environment.py — grid, authoritative state, legal actions, transitions, termination;</w:t>
      </w:r>
    </w:p>
    <w:p>
      <w:pPr>
        <w:pStyle w:val="ListBullet"/>
      </w:pPr>
      <w:r>
        <w:t>policies.py — FastGainPolicy, SafeMarginPolicy, optional teaching heuristic;</w:t>
      </w:r>
    </w:p>
    <w:p>
      <w:pPr>
        <w:pStyle w:val="ListBullet"/>
      </w:pPr>
      <w:r>
        <w:t>viability.py — reserve/recovery/capability checks;</w:t>
      </w:r>
    </w:p>
    <w:p>
      <w:pPr>
        <w:pStyle w:val="ListBullet"/>
      </w:pPr>
      <w:r>
        <w:t>metrics.py — task and PV-PP-relevant observables, false-success classifier;</w:t>
      </w:r>
    </w:p>
    <w:p>
      <w:pPr>
        <w:pStyle w:val="ListBullet"/>
      </w:pPr>
      <w:r>
        <w:t>experiment.py — deterministic run, Monte Carlo trials, parameter sweeps;</w:t>
      </w:r>
    </w:p>
    <w:p>
      <w:pPr>
        <w:pStyle w:val="ListBullet"/>
      </w:pPr>
      <w:r>
        <w:t>results.py — CSV/JSON output and aggregate summaries;</w:t>
      </w:r>
    </w:p>
    <w:p>
      <w:pPr>
        <w:pStyle w:val="ListBullet"/>
      </w:pPr>
      <w:r>
        <w:t>visualize.py — optional trajectory and metric plots;</w:t>
      </w:r>
    </w:p>
    <w:p>
      <w:pPr>
        <w:pStyle w:val="ListBullet"/>
      </w:pPr>
      <w:r>
        <w:t>tests/ — transition tests, policy tests, viability/false-success tests, reproducibility tests.</w:t>
      </w:r>
    </w:p>
    <w:p>
      <w:pPr>
        <w:pStyle w:val="Heading1"/>
      </w:pPr>
      <w:r>
        <w:t>16. Trace Schema</w:t>
      </w:r>
    </w:p>
    <w:p>
      <w:r>
        <w:t>Each step should record enough information to explain the result:</w:t>
      </w:r>
    </w:p>
    <w:p>
      <w:pPr>
        <w:pStyle w:val="ListBullet"/>
      </w:pPr>
      <w:r>
        <w:t>episode/trial id and seed;</w:t>
      </w:r>
    </w:p>
    <w:p>
      <w:pPr>
        <w:pStyle w:val="ListBullet"/>
      </w:pPr>
      <w:r>
        <w:t>step number;</w:t>
      </w:r>
    </w:p>
    <w:p>
      <w:pPr>
        <w:pStyle w:val="ListBullet"/>
      </w:pPr>
      <w:r>
        <w:t>pre-action position and energy;</w:t>
      </w:r>
    </w:p>
    <w:p>
      <w:pPr>
        <w:pStyle w:val="ListBullet"/>
      </w:pPr>
      <w:r>
        <w:t>candidate/legal actions if logged;</w:t>
      </w:r>
    </w:p>
    <w:p>
      <w:pPr>
        <w:pStyle w:val="ListBullet"/>
      </w:pPr>
      <w:r>
        <w:t>selected action and policy;</w:t>
      </w:r>
    </w:p>
    <w:p>
      <w:pPr>
        <w:pStyle w:val="ListBullet"/>
      </w:pPr>
      <w:r>
        <w:t>cell entered / transition type;</w:t>
      </w:r>
    </w:p>
    <w:p>
      <w:pPr>
        <w:pStyle w:val="ListBullet"/>
      </w:pPr>
      <w:r>
        <w:t>reward/score change;</w:t>
      </w:r>
    </w:p>
    <w:p>
      <w:pPr>
        <w:pStyle w:val="ListBullet"/>
      </w:pPr>
      <w:r>
        <w:t>energy and risk change;</w:t>
      </w:r>
    </w:p>
    <w:p>
      <w:pPr>
        <w:pStyle w:val="ListBullet"/>
      </w:pPr>
      <w:r>
        <w:t>recovery reachability or reserve status;</w:t>
      </w:r>
    </w:p>
    <w:p>
      <w:pPr>
        <w:pStyle w:val="ListBullet"/>
      </w:pPr>
      <w:r>
        <w:t>post-action capability-to-continue classification;</w:t>
      </w:r>
    </w:p>
    <w:p>
      <w:pPr>
        <w:pStyle w:val="ListBullet"/>
      </w:pPr>
      <w:r>
        <w:t>goal/failure/termination flags;</w:t>
      </w:r>
    </w:p>
    <w:p>
      <w:pPr>
        <w:pStyle w:val="ListBullet"/>
      </w:pPr>
      <w:r>
        <w:t>false-success condition when triggered.</w:t>
      </w:r>
    </w:p>
    <w:p>
      <w:pPr>
        <w:pStyle w:val="Heading1"/>
      </w:pPr>
      <w:r>
        <w:t>17. Acceptance Criteria</w:t>
      </w:r>
    </w:p>
    <w:p>
      <w:pPr>
        <w:pStyle w:val="ListBullet"/>
      </w:pPr>
      <w:r>
        <w:t>Both Fast Gain and Safe Margin policies execute on the same environment interface.</w:t>
      </w:r>
    </w:p>
    <w:p>
      <w:pPr>
        <w:pStyle w:val="ListBullet"/>
      </w:pPr>
      <w:r>
        <w:t>Ordinary score is reported separately from viability/capability observables.</w:t>
      </w:r>
    </w:p>
    <w:p>
      <w:pPr>
        <w:pStyle w:val="ListBullet"/>
      </w:pPr>
      <w:r>
        <w:t>At least one governing viability or recovery condition is predeclared.</w:t>
      </w:r>
    </w:p>
    <w:p>
      <w:pPr>
        <w:pStyle w:val="ListBullet"/>
      </w:pPr>
      <w:r>
        <w:t>False success uses a predeclared visible-success condition plus a separate governing failure.</w:t>
      </w:r>
    </w:p>
    <w:p>
      <w:pPr>
        <w:pStyle w:val="ListBullet"/>
      </w:pPr>
      <w:r>
        <w:t>The benchmark includes at least one parameter regime where high local gain produces hidden viability/recovery loss.</w:t>
      </w:r>
    </w:p>
    <w:p>
      <w:pPr>
        <w:pStyle w:val="ListBullet"/>
      </w:pPr>
      <w:r>
        <w:t>The benchmark also permits regimes where the high-gain route remains viable; Safe Margin is not hard-coded to win.</w:t>
      </w:r>
    </w:p>
    <w:p>
      <w:pPr>
        <w:pStyle w:val="ListBullet"/>
      </w:pPr>
      <w:r>
        <w:t>Multiple randomized trials can be reproduced from recorded seeds.</w:t>
      </w:r>
    </w:p>
    <w:p>
      <w:pPr>
        <w:pStyle w:val="ListBullet"/>
      </w:pPr>
      <w:r>
        <w:t>Risk, reward, reserve, and recovery parameters can be changed without rewriting policy/environment semantics.</w:t>
      </w:r>
    </w:p>
    <w:p>
      <w:pPr>
        <w:pStyle w:val="ListBullet"/>
      </w:pPr>
      <w:r>
        <w:t>Results can be exported in a machine-readable form.</w:t>
      </w:r>
    </w:p>
    <w:p>
      <w:pPr>
        <w:pStyle w:val="ListBullet"/>
      </w:pPr>
      <w:r>
        <w:t>Documentation states that the benchmark is a narrow teaching example, not full-framework validation.</w:t>
      </w:r>
    </w:p>
    <w:p>
      <w:pPr>
        <w:pStyle w:val="Heading1"/>
      </w:pPr>
      <w:r>
        <w:t>18. Optional Version 2.1 Extensions</w:t>
      </w:r>
    </w:p>
    <w:p>
      <w:r>
        <w:t>The base benchmark does not need these features. They may be added as separate experimental extensions if a later question requires them.</w:t>
      </w:r>
    </w:p>
    <w:p>
      <w:pPr>
        <w:pStyle w:val="ListBullet"/>
      </w:pPr>
      <w:r>
        <w:t>Perception gap: give the agent stale or noisy hazard/recovery information and distinguish P_i(t) from actual state.</w:t>
      </w:r>
    </w:p>
    <w:p>
      <w:pPr>
        <w:pStyle w:val="ListBullet"/>
      </w:pPr>
      <w:r>
        <w:t>Objective perturbation: vary an explicit O_i(t), such as maximize collection versus reach goal with reserve, while keeping objective influence separate from reachability/authority.</w:t>
      </w:r>
    </w:p>
    <w:p>
      <w:pPr>
        <w:pStyle w:val="ListBullet"/>
      </w:pPr>
      <w:r>
        <w:t>Information governance: supply a map hint whose confidence and permitted use differ.</w:t>
      </w:r>
    </w:p>
    <w:p>
      <w:pPr>
        <w:pStyle w:val="ListBullet"/>
      </w:pPr>
      <w:r>
        <w:t>Capability development: allow an action to create a new capability only after the corresponding realized state transition.</w:t>
      </w:r>
    </w:p>
    <w:p>
      <w:pPr>
        <w:pStyle w:val="ListBullet"/>
      </w:pPr>
      <w:r>
        <w:t>Replay: persist enough decision-time state/perception/objective/configuration to reconstruct a run.</w:t>
      </w:r>
    </w:p>
    <w:p>
      <w:r>
        <w:t>Adding one of these extensions does not automatically make the benchmark a full Runtime V2.1 benchmark. If the claim concerns canonical runtime behavior, use the runtime and the current Benchmark Programming and Runtime Integration Guide.</w:t>
      </w:r>
    </w:p>
    <w:p>
      <w:pPr>
        <w:pStyle w:val="Heading1"/>
      </w:pPr>
      <w:r>
        <w:t>19. Runtime V2.1 Relationship</w:t>
      </w:r>
    </w:p>
    <w:p>
      <w:r>
        <w:t>The recommended base Gridworld remains standalone because its teaching claim does not require the complete runtime. Runtime v0.141 may be integrated later for a specific runtime-governance experiment, but that should be a separately versioned benchmark variant.</w:t>
      </w:r>
    </w:p>
    <w:p>
      <w:r>
        <w:t>Do not imply that v0.141 supplies environment sensing for this grid. The runtime is synchronous and has no asynchronous sensing or external instrumentation hooks. Grid state is owned and updated by the benchmark environment.</w:t>
      </w:r>
    </w:p>
    <w:p>
      <w:pPr>
        <w:pStyle w:val="Heading1"/>
      </w:pPr>
      <w:r>
        <w:t>20. Developer Task Sequence</w:t>
      </w:r>
    </w:p>
    <w:p>
      <w:pPr>
        <w:pStyle w:val="ListBullet"/>
      </w:pPr>
      <w:r>
        <w:rPr>
          <w:b/>
        </w:rPr>
        <w:t xml:space="preserve">Phase 1 — Environment: </w:t>
      </w:r>
      <w:r>
        <w:t>Create grid/cell types, state object, legal moves, energy/reward/hazard/recovery transitions, termination.</w:t>
      </w:r>
    </w:p>
    <w:p>
      <w:pPr>
        <w:pStyle w:val="ListBullet"/>
      </w:pPr>
      <w:r>
        <w:rPr>
          <w:b/>
        </w:rPr>
        <w:t xml:space="preserve">Phase 2 — Policies: </w:t>
      </w:r>
      <w:r>
        <w:t>Implement Fast Gain and Safe Margin against the same environment API.</w:t>
      </w:r>
    </w:p>
    <w:p>
      <w:pPr>
        <w:pStyle w:val="ListBullet"/>
      </w:pPr>
      <w:r>
        <w:rPr>
          <w:b/>
        </w:rPr>
        <w:t xml:space="preserve">Phase 3 — Viability: </w:t>
      </w:r>
      <w:r>
        <w:t>Implement reserve, recovery-reachability, capability-to-continue, and false-success checks.</w:t>
      </w:r>
    </w:p>
    <w:p>
      <w:pPr>
        <w:pStyle w:val="ListBullet"/>
      </w:pPr>
      <w:r>
        <w:rPr>
          <w:b/>
        </w:rPr>
        <w:t xml:space="preserve">Phase 4 — Metrics and traces: </w:t>
      </w:r>
      <w:r>
        <w:t>Record task metrics and viability/capability observables separately.</w:t>
      </w:r>
    </w:p>
    <w:p>
      <w:pPr>
        <w:pStyle w:val="ListBullet"/>
      </w:pPr>
      <w:r>
        <w:rPr>
          <w:b/>
        </w:rPr>
        <w:t xml:space="preserve">Phase 5 — Experiments: </w:t>
      </w:r>
      <w:r>
        <w:t>Run deterministic case, matched-seed Monte Carlo trials, and parameter sweep.</w:t>
      </w:r>
    </w:p>
    <w:p>
      <w:pPr>
        <w:pStyle w:val="ListBullet"/>
      </w:pPr>
      <w:r>
        <w:rPr>
          <w:b/>
        </w:rPr>
        <w:t xml:space="preserve">Phase 6 — Outputs: </w:t>
      </w:r>
      <w:r>
        <w:t>Export raw/summary results and sample trajectories; visualize score versus viability where useful.</w:t>
      </w:r>
    </w:p>
    <w:p>
      <w:pPr>
        <w:pStyle w:val="ListBullet"/>
      </w:pPr>
      <w:r>
        <w:rPr>
          <w:b/>
        </w:rPr>
        <w:t xml:space="preserve">Phase 7 — Tests: </w:t>
      </w:r>
      <w:r>
        <w:t>Verify transitions, policy invariants, false-success classification, seed reproducibility, and regime behavior.</w:t>
      </w:r>
    </w:p>
    <w:p>
      <w:pPr>
        <w:pStyle w:val="ListBullet"/>
      </w:pPr>
      <w:r>
        <w:rPr>
          <w:b/>
        </w:rPr>
        <w:t xml:space="preserve">Phase 8 — Documentation: </w:t>
      </w:r>
      <w:r>
        <w:t>Publish exact configuration, claim, exclusions, reproduction instructions, and limitations.</w:t>
      </w:r>
    </w:p>
    <w:p>
      <w:pPr>
        <w:pStyle w:val="Heading1"/>
      </w:pPr>
      <w:r>
        <w:t>21. Limitations</w:t>
      </w:r>
    </w:p>
    <w:p>
      <w:r>
        <w:t>This gridworld deliberately strips away most of the difficulty that motivates the full PV-PP architecture. State is small, transitions are mostly known, authority is trivial, objective conflict is optional, environment truth is directly available, and recovery is easy to encode. It therefore should not be used to support claims about large-scale economic systems, institutional governance, autonomous-agent security, empirical human behavior, or computational scalability.</w:t>
      </w:r>
    </w:p>
    <w:p>
      <w:r>
        <w:t>The benchmark's useful claim is narrower: a visible task/reward measure and the conditions required for continued operation can be represented separately, and policies can be compared on both rather than assuming the first is a sufficient proxy for the second.</w:t>
      </w:r>
    </w:p>
    <w:p>
      <w:pPr>
        <w:pStyle w:val="Heading1"/>
      </w:pPr>
      <w:r>
        <w:t>22. Programmer Summary</w:t>
      </w:r>
    </w:p>
    <w:p>
      <w:r>
        <w:t>Build a 2D gridworld in which an agent collects visible reward and attempts to reach a goal while consuming energy and depending on recovery access. Implement a Fast Gain policy that favors immediate gain and a Safe Margin policy that preserves a predeclared operating/recovery margin before comparing remaining rewards. Track score separately from minimum energy, reserve margin, recovery reachability, survival, capability-to-continue, and false success. Run both policies on identical deterministic and randomized cases, sweep risk/reward/recovery parameters, and report the regimes in which reward and viability agree or diverge. Treat the result as a narrow teaching benchmark, not a full PV-PP validation.</w:t>
      </w:r>
    </w:p>
    <w:sectPr w:rsidR="00FC693F" w:rsidRPr="0006063C" w:rsidSect="00034616">
      <w:headerReference w:type="default" r:id="rId9"/>
      <w:footerReference w:type="default" r:id="rId10"/>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Amundsen R&amp;D LLC | Evidence / Teaching Example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PV-PP Teaching Benchmark | Safe Margin vs Fast Gain Gridworld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