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Benchmark Programming</w:t>
        <w:br/>
        <w:t>and Runtime Integration Guide</w:t>
      </w:r>
    </w:p>
    <w:p>
      <w:pPr>
        <w:jc w:val="center"/>
      </w:pPr>
      <w:r>
        <w:rPr>
          <w:b/>
        </w:rPr>
        <w:t>Framework Version 2.1 / Frozen Runtime V2.1 v0.141 | Version 1.0</w:t>
      </w:r>
    </w:p>
    <w:p>
      <w:pPr>
        <w:jc w:val="center"/>
      </w:pPr>
      <w:r>
        <w:t>From Benchmark Specification to Executable, Reproducible Test | September 2026</w:t>
      </w:r>
    </w:p>
    <w:p>
      <w:r>
        <w:t>Status and authority: Current implementation guidance for PV-PP benchmarks. This guide does not define or modify canonical framework semantics or frozen runtime behavior. Framework Version 2.1 owner specifications control framework meaning; frozen Runtime V2.1 v0.141 source and tests control implemented runtime behavior. The Benchmark Design Guide controls benchmark-design guidance, while benchmark-specific developer references control the details of individual implementations.</w:t>
      </w:r>
    </w:p>
    <w:p>
      <w:pPr>
        <w:pStyle w:val="Heading1"/>
      </w:pPr>
      <w:r>
        <w:t>1. Purpose</w:t>
      </w:r>
    </w:p>
    <w:p>
      <w:r>
        <w:t>This guide defines the programming bridge between a completed PV-PP benchmark specification and an executable benchmark or simulation. Its central change from the pre-Version-2.1 benchmark-programming approach is that a shared runtime now exists. A benchmark no longer needs to reproduce canonical runtime governance internally merely because there is no reusable implementation.</w:t>
      </w:r>
    </w:p>
    <w:p>
      <w:r>
        <w:t>The programming task is therefore to separate three things cleanly: the application/environment model, the benchmark experiment harness, and the PV-PP runtime surfaces actually being tested. A narrow teaching benchmark may still implement only its declared distinction. A benchmark claiming canonical runtime behavior should use the frozen runtime rather than a hand-coded substitute.</w:t>
      </w:r>
    </w:p>
    <w:p>
      <w:pPr>
        <w:pStyle w:val="Heading1"/>
      </w:pPr>
      <w:r>
        <w:t>2. Implementation Layers</w:t>
      </w:r>
    </w:p>
    <w:tbl>
      <w:tblPr>
        <w:tblStyle w:val="TableGrid"/>
        <w:tblW w:type="auto" w:w="0"/>
        <w:jc w:val="center"/>
        <w:tblLook w:firstColumn="1" w:firstRow="1" w:lastColumn="0" w:lastRow="0" w:noHBand="0" w:noVBand="1" w:val="04A0"/>
      </w:tblPr>
      <w:tblGrid>
        <w:gridCol w:w="2534"/>
        <w:gridCol w:w="2534"/>
        <w:gridCol w:w="2534"/>
        <w:gridCol w:w="2534"/>
      </w:tblGrid>
      <w:tr>
        <w:tc>
          <w:tcPr>
            <w:tcW w:type="dxa" w:w="2534"/>
          </w:tcPr>
          <w:p>
            <w:r>
              <w:rPr>
                <w:b/>
              </w:rPr>
              <w:t>Layer</w:t>
            </w:r>
          </w:p>
        </w:tc>
        <w:tc>
          <w:tcPr>
            <w:tcW w:type="dxa" w:w="2534"/>
          </w:tcPr>
          <w:p>
            <w:r>
              <w:rPr>
                <w:b/>
              </w:rPr>
              <w:t>Owns</w:t>
            </w:r>
          </w:p>
        </w:tc>
        <w:tc>
          <w:tcPr>
            <w:tcW w:type="dxa" w:w="2534"/>
          </w:tcPr>
          <w:p>
            <w:r>
              <w:rPr>
                <w:b/>
              </w:rPr>
              <w:t>Does not own</w:t>
            </w:r>
          </w:p>
        </w:tc>
        <w:tc>
          <w:tcPr>
            <w:tcW w:type="dxa" w:w="2534"/>
          </w:tcPr>
          <w:p>
            <w:r>
              <w:rPr>
                <w:b/>
              </w:rPr>
              <w:t>Typical code</w:t>
            </w:r>
          </w:p>
        </w:tc>
      </w:tr>
      <w:tr>
        <w:tc>
          <w:tcPr>
            <w:tcW w:type="dxa" w:w="2534"/>
            <w:vAlign w:val="top"/>
          </w:tcPr>
          <w:p>
            <w:r>
              <w:t>Domain / environment</w:t>
            </w:r>
          </w:p>
        </w:tc>
        <w:tc>
          <w:tcPr>
            <w:tcW w:type="dxa" w:w="2534"/>
            <w:vAlign w:val="top"/>
          </w:tcPr>
          <w:p>
            <w:r>
              <w:t>Actual domain state, transitions, resources, external effects, sensors/instrumentation, authoritative environmental truth.</w:t>
            </w:r>
          </w:p>
        </w:tc>
        <w:tc>
          <w:tcPr>
            <w:tcW w:type="dxa" w:w="2534"/>
            <w:vAlign w:val="top"/>
          </w:tcPr>
          <w:p>
            <w:r>
              <w:t>Canonical PV-PP operator meaning.</w:t>
            </w:r>
          </w:p>
        </w:tc>
        <w:tc>
          <w:tcPr>
            <w:tcW w:type="dxa" w:w="2534"/>
            <w:vAlign w:val="top"/>
          </w:tcPr>
          <w:p>
            <w:r>
              <w:t>Environment classes, state stores, transition functions, external services.</w:t>
            </w:r>
          </w:p>
        </w:tc>
      </w:tr>
      <w:tr>
        <w:tc>
          <w:tcPr>
            <w:tcW w:type="dxa" w:w="2534"/>
            <w:vAlign w:val="top"/>
          </w:tcPr>
          <w:p>
            <w:r>
              <w:t>Benchmark harness</w:t>
            </w:r>
          </w:p>
        </w:tc>
        <w:tc>
          <w:tcPr>
            <w:tcW w:type="dxa" w:w="2534"/>
            <w:vAlign w:val="top"/>
          </w:tcPr>
          <w:p>
            <w:r>
              <w:t>Trials, perturbations, baselines, seeds, assertions, logging, metrics, comparison, reproducibility.</w:t>
            </w:r>
          </w:p>
        </w:tc>
        <w:tc>
          <w:tcPr>
            <w:tcW w:type="dxa" w:w="2534"/>
            <w:vAlign w:val="top"/>
          </w:tcPr>
          <w:p>
            <w:r>
              <w:t>Framework authority or hidden semantic changes.</w:t>
            </w:r>
          </w:p>
        </w:tc>
        <w:tc>
          <w:tcPr>
            <w:tcW w:type="dxa" w:w="2534"/>
            <w:vAlign w:val="top"/>
          </w:tcPr>
          <w:p>
            <w:r>
              <w:t>Scenario setup, experiment loop, fixtures, metrics, result writers.</w:t>
            </w:r>
          </w:p>
        </w:tc>
      </w:tr>
      <w:tr>
        <w:tc>
          <w:tcPr>
            <w:tcW w:type="dxa" w:w="2534"/>
            <w:vAlign w:val="top"/>
          </w:tcPr>
          <w:p>
            <w:r>
              <w:t>Runtime integration</w:t>
            </w:r>
          </w:p>
        </w:tc>
        <w:tc>
          <w:tcPr>
            <w:tcW w:type="dxa" w:w="2534"/>
            <w:vAlign w:val="top"/>
          </w:tcPr>
          <w:p>
            <w:r>
              <w:t>Calls into implemented v0.141 governance surfaces and records returned assessments/traces.</w:t>
            </w:r>
          </w:p>
        </w:tc>
        <w:tc>
          <w:tcPr>
            <w:tcW w:type="dxa" w:w="2534"/>
            <w:vAlign w:val="top"/>
          </w:tcPr>
          <w:p>
            <w:r>
              <w:t>External environment mutation, async sensing, domain truth.</w:t>
            </w:r>
          </w:p>
        </w:tc>
        <w:tc>
          <w:tcPr>
            <w:tcW w:type="dxa" w:w="2534"/>
            <w:vAlign w:val="top"/>
          </w:tcPr>
          <w:p>
            <w:r>
              <w:t>Adapters, typed runtime objects, validation calls, execution/call-through integration.</w:t>
            </w:r>
          </w:p>
        </w:tc>
      </w:tr>
      <w:tr>
        <w:tc>
          <w:tcPr>
            <w:tcW w:type="dxa" w:w="2534"/>
            <w:vAlign w:val="top"/>
          </w:tcPr>
          <w:p>
            <w:r>
              <w:t>Reference implementation</w:t>
            </w:r>
          </w:p>
        </w:tc>
        <w:tc>
          <w:tcPr>
            <w:tcW w:type="dxa" w:w="2534"/>
            <w:vAlign w:val="top"/>
          </w:tcPr>
          <w:p>
            <w:r>
              <w:t>Documents the exact benchmark code/configuration and its exclusions.</w:t>
            </w:r>
          </w:p>
        </w:tc>
        <w:tc>
          <w:tcPr>
            <w:tcW w:type="dxa" w:w="2534"/>
            <w:vAlign w:val="top"/>
          </w:tcPr>
          <w:p>
            <w:r>
              <w:t>General framework doctrine.</w:t>
            </w:r>
          </w:p>
        </w:tc>
        <w:tc>
          <w:tcPr>
            <w:tcW w:type="dxa" w:w="2534"/>
            <w:vAlign w:val="top"/>
          </w:tcPr>
          <w:p>
            <w:r>
              <w:t>Benchmark package, README/developer reference, tests.</w:t>
            </w:r>
          </w:p>
        </w:tc>
      </w:tr>
    </w:tbl>
    <w:p>
      <w:pPr>
        <w:pStyle w:val="Heading1"/>
      </w:pPr>
      <w:r>
        <w:t>3. Decide First: Runtime-Integrated or Standalone</w:t>
      </w:r>
    </w:p>
    <w:p>
      <w:pPr>
        <w:pStyle w:val="Heading2"/>
      </w:pPr>
      <w:r>
        <w:t>3.1 Runtime-integrated benchmark</w:t>
      </w:r>
    </w:p>
    <w:p>
      <w:r>
        <w:t>Use the runtime when the experimental claim concerns a canonical behavior implemented by v0.141, such as objective handling, bounded objective relevance, information governance, Transfer History validation, replay sufficiency, transition-relevant state declarations, objective lifecycle invalidation/re-entry, execution licensing, or registered synchronous call-through.</w:t>
      </w:r>
    </w:p>
    <w:p>
      <w:pPr>
        <w:pStyle w:val="Heading2"/>
      </w:pPr>
      <w:r>
        <w:t>3.2 Standalone or narrow teaching benchmark</w:t>
      </w:r>
    </w:p>
    <w:p>
      <w:r>
        <w:t>A benchmark may remain standalone when it demonstrates a limited proposition that does not claim full runtime conformance—for example, a simple gridworld showing that local reward can diverge from a viability condition. The implementation must say exactly which PV-PP distinctions it models and which it omits.</w:t>
      </w:r>
    </w:p>
    <w:p>
      <w:pPr>
        <w:pStyle w:val="Heading2"/>
      </w:pPr>
      <w:r>
        <w:t>3.3 Hybrid benchmark</w:t>
      </w:r>
    </w:p>
    <w:p>
      <w:r>
        <w:t>A hybrid may keep environment dynamics and specialized model logic in benchmark code while delegating the canonical governance surfaces under test to the runtime. This is often the preferred pattern.</w:t>
      </w:r>
    </w:p>
    <w:p>
      <w:pPr>
        <w:pStyle w:val="Heading1"/>
      </w:pPr>
      <w:r>
        <w:t>4. Preserve the Modeling Boundary</w:t>
      </w:r>
    </w:p>
    <w:p>
      <w:r>
        <w:t>Programming begins from the completed scenario/model and benchmark specification. Code should not silently redefine PP, PV, SPV, viability, P_i(t), O_i(t), governing domains, authority, or adequacy because a simpler data structure is convenient.</w:t>
      </w:r>
    </w:p>
    <w:p>
      <w:pPr>
        <w:pStyle w:val="ListBullet"/>
      </w:pPr>
      <w:r>
        <w:t>Keep actual persistent state application-owned unless a runtime interface explicitly owns a representation.</w:t>
      </w:r>
    </w:p>
    <w:p>
      <w:pPr>
        <w:pStyle w:val="ListBullet"/>
      </w:pPr>
      <w:r>
        <w:t>Represent Productive Power as current capability, not as raw inventory or desired future capability.</w:t>
      </w:r>
    </w:p>
    <w:p>
      <w:pPr>
        <w:pStyle w:val="ListBullet"/>
      </w:pPr>
      <w:r>
        <w:t>Record PV only where the model qualifies an actual transfer/realization.</w:t>
      </w:r>
    </w:p>
    <w:p>
      <w:pPr>
        <w:pStyle w:val="ListBullet"/>
      </w:pPr>
      <w:r>
        <w:t>Keep P_i(t) separate from actual state and carry O_i(t) adjacent rather than embedding objectives as hidden utility.</w:t>
      </w:r>
    </w:p>
    <w:p>
      <w:pPr>
        <w:pStyle w:val="ListBullet"/>
      </w:pPr>
      <w:r>
        <w:t>Keep Transfer History, memory/retrieval, expectation, and current state distinct.</w:t>
      </w:r>
    </w:p>
    <w:p>
      <w:pPr>
        <w:pStyle w:val="ListBullet"/>
      </w:pPr>
      <w:r>
        <w:t>Treat source authority, applicability, permitted use, disposition, confidence, and temporal provenance as separate when the benchmark tests them.</w:t>
      </w:r>
    </w:p>
    <w:p>
      <w:pPr>
        <w:pStyle w:val="Heading1"/>
      </w:pPr>
      <w:r>
        <w:t>5. Recommended Program Structure</w:t>
      </w:r>
    </w:p>
    <w:p>
      <w:r>
        <w:t>A maintainable benchmark package should normally separate:</w:t>
      </w:r>
    </w:p>
    <w:p>
      <w:pPr>
        <w:pStyle w:val="ListBullet"/>
      </w:pPr>
      <w:r>
        <w:t>scenario.py or equivalent: domain constants, actor/entity declarations, initial conditions, typed model configuration;</w:t>
      </w:r>
    </w:p>
    <w:p>
      <w:pPr>
        <w:pStyle w:val="ListBullet"/>
      </w:pPr>
      <w:r>
        <w:t>environment.py: actual state and authoritative transition/realization logic;</w:t>
      </w:r>
    </w:p>
    <w:p>
      <w:pPr>
        <w:pStyle w:val="ListBullet"/>
      </w:pPr>
      <w:r>
        <w:t>runtime_adapter.py: conversion between application objects and runtime inputs/outputs;</w:t>
      </w:r>
    </w:p>
    <w:p>
      <w:pPr>
        <w:pStyle w:val="ListBullet"/>
      </w:pPr>
      <w:r>
        <w:t>policies.py or agents.py: baseline or experimental policy logic that is not owned by the runtime;</w:t>
      </w:r>
    </w:p>
    <w:p>
      <w:pPr>
        <w:pStyle w:val="ListBullet"/>
      </w:pPr>
      <w:r>
        <w:t>experiment.py: controlled trial orchestration and perturbations;</w:t>
      </w:r>
    </w:p>
    <w:p>
      <w:pPr>
        <w:pStyle w:val="ListBullet"/>
      </w:pPr>
      <w:r>
        <w:t>metrics.py: ordinary and PV-PP-specific observables;</w:t>
      </w:r>
    </w:p>
    <w:p>
      <w:pPr>
        <w:pStyle w:val="ListBullet"/>
      </w:pPr>
      <w:r>
        <w:t>trace.py / results.py: structured trace and result persistence;</w:t>
      </w:r>
    </w:p>
    <w:p>
      <w:pPr>
        <w:pStyle w:val="ListBullet"/>
      </w:pPr>
      <w:r>
        <w:t>tests/: invariants, hostile cases, deterministic regression, and benchmark acceptance criteria;</w:t>
      </w:r>
    </w:p>
    <w:p>
      <w:pPr>
        <w:pStyle w:val="ListBullet"/>
      </w:pPr>
      <w:r>
        <w:t>README or developer reference: exact implemented scope, exclusions, versions, and reproduction instructions.</w:t>
      </w:r>
    </w:p>
    <w:p>
      <w:r>
        <w:t>Names may differ. The important property is architectural separation: environment truth should not be hidden in the runtime adapter, and framework governance should not be duplicated inside the metrics layer.</w:t>
      </w:r>
    </w:p>
    <w:p>
      <w:pPr>
        <w:pStyle w:val="Heading1"/>
      </w:pPr>
      <w:r>
        <w:t>6. Canonical Execution Loop</w:t>
      </w:r>
    </w:p>
    <w:p>
      <w:r>
        <w:t>A typical synchronous runtime-integrated benchmark iteration is:</w:t>
      </w:r>
    </w:p>
    <w:p>
      <w:pPr>
        <w:pStyle w:val="ListNumber"/>
      </w:pPr>
      <w:r>
        <w:t>Read the authoritative current environment/domain state S_i(t).</w:t>
      </w:r>
    </w:p>
    <w:p>
      <w:pPr>
        <w:pStyle w:val="ListNumber"/>
      </w:pPr>
      <w:r>
        <w:t>Construct or retrieve the declared transition-relevant state basis.</w:t>
      </w:r>
    </w:p>
    <w:p>
      <w:pPr>
        <w:pStyle w:val="ListNumber"/>
      </w:pPr>
      <w:r>
        <w:t>Construct decision-time P_i(t) from the benchmark's licensed observation/retrieval/expectation inputs.</w:t>
      </w:r>
    </w:p>
    <w:p>
      <w:pPr>
        <w:pStyle w:val="ListNumber"/>
      </w:pPr>
      <w:r>
        <w:t>Construct current O_i(t), if objectives are in scope.</w:t>
      </w:r>
    </w:p>
    <w:p>
      <w:pPr>
        <w:pStyle w:val="ListNumber"/>
      </w:pPr>
      <w:r>
        <w:t>Prepare any governed retrieval/information metadata and relevant Transfer History references/packages.</w:t>
      </w:r>
    </w:p>
    <w:p>
      <w:pPr>
        <w:pStyle w:val="ListNumber"/>
      </w:pPr>
      <w:r>
        <w:t>Invoke the runtime surfaces required by the experiment, preserving the canonical decision order and dependencies.</w:t>
      </w:r>
    </w:p>
    <w:p>
      <w:pPr>
        <w:pStyle w:val="ListNumber"/>
      </w:pPr>
      <w:r>
        <w:t>Construct/evaluate candidate policy material and completeness as required by the modeled/runtime path.</w:t>
      </w:r>
    </w:p>
    <w:p>
      <w:pPr>
        <w:pStyle w:val="ListNumber"/>
      </w:pPr>
      <w:r>
        <w:t>Apply Constraints, framing, Adequacy, and selection through the implemented path being tested.</w:t>
      </w:r>
    </w:p>
    <w:p>
      <w:pPr>
        <w:pStyle w:val="ListNumber"/>
      </w:pPr>
      <w:r>
        <w:t>If execution is authorized, pass the selected policy through epsilon/execution licensing and optional registered synchronous call-through.</w:t>
      </w:r>
    </w:p>
    <w:p>
      <w:pPr>
        <w:pStyle w:val="ListNumber"/>
      </w:pPr>
      <w:r>
        <w:t>Observe the external/environmental result separately from the callable return.</w:t>
      </w:r>
    </w:p>
    <w:p>
      <w:pPr>
        <w:pStyle w:val="ListNumber"/>
      </w:pPr>
      <w:r>
        <w:t>Apply the authoritative Layer-1/domain state transition in the owning environment/application layer.</w:t>
      </w:r>
    </w:p>
    <w:p>
      <w:pPr>
        <w:pStyle w:val="ListNumber"/>
      </w:pPr>
      <w:r>
        <w:t>Record realized PV and other typed consequences.</w:t>
      </w:r>
    </w:p>
    <w:p>
      <w:pPr>
        <w:pStyle w:val="ListNumber"/>
      </w:pPr>
      <w:r>
        <w:t>Record post-execution informational/history/perception updates through their licensed paths.</w:t>
      </w:r>
    </w:p>
    <w:p>
      <w:pPr>
        <w:pStyle w:val="ListNumber"/>
      </w:pPr>
      <w:r>
        <w:t>Emit trial trace, metrics, acceptance checks, and replay material required by the benchmark.</w:t>
      </w:r>
    </w:p>
    <w:p>
      <w:pPr>
        <w:pStyle w:val="Heading1"/>
      </w:pPr>
      <w:r>
        <w:t>7. Runtime Adapter Pattern</w:t>
      </w:r>
    </w:p>
    <w:p>
      <w:r>
        <w:t>The adapter is the boundary between domain-specific objects and the runtime's typed contracts. It should be explicit, small, and auditable.</w:t>
      </w:r>
    </w:p>
    <w:p>
      <w:pPr>
        <w:pStyle w:val="ListBullet"/>
      </w:pPr>
      <w:r>
        <w:t>Translate application state into runtime references/declarations without pretending the runtime owns domain truth.</w:t>
      </w:r>
    </w:p>
    <w:p>
      <w:pPr>
        <w:pStyle w:val="ListBullet"/>
      </w:pPr>
      <w:r>
        <w:t>Translate application objectives into typed objective records/sets while preserving identity, lifecycle, scope, authority/provenance, and version information required by the interface.</w:t>
      </w:r>
    </w:p>
    <w:p>
      <w:pPr>
        <w:pStyle w:val="ListBullet"/>
      </w:pPr>
      <w:r>
        <w:t>Translate retrieval results into runtime memory/information packages without converting confidence into authority.</w:t>
      </w:r>
    </w:p>
    <w:p>
      <w:pPr>
        <w:pStyle w:val="ListBullet"/>
      </w:pPr>
      <w:r>
        <w:t>Translate runtime assessments back into benchmark-readable trace records without adding policy meaning that the runtime did not return.</w:t>
      </w:r>
    </w:p>
    <w:p>
      <w:pPr>
        <w:pStyle w:val="ListBullet"/>
      </w:pPr>
      <w:r>
        <w:t>Never make the adapter a hidden selector or a place where failed runtime checks are overridden.</w:t>
      </w:r>
    </w:p>
    <w:p>
      <w:pPr>
        <w:pStyle w:val="Heading1"/>
      </w:pPr>
      <w:r>
        <w:t>8. Objective Integration</w:t>
      </w:r>
    </w:p>
    <w:p>
      <w:r>
        <w:t>Objective-aware benchmarks should construct O_i(t) independently of P_i(t). The benchmark may vary objective content, status, version, or lifecycle while holding actual state constant.</w:t>
      </w:r>
    </w:p>
    <w:p>
      <w:pPr>
        <w:pStyle w:val="ListBullet"/>
      </w:pPr>
      <w:r>
        <w:t>Use Objective Responsiveness only as descriptive policy-objective relation.</w:t>
      </w:r>
    </w:p>
    <w:p>
      <w:pPr>
        <w:pStyle w:val="ListBullet"/>
      </w:pPr>
      <w:r>
        <w:t>Use bounded objective-discovery hints only through registered/allowed surfaces.</w:t>
      </w:r>
    </w:p>
    <w:p>
      <w:pPr>
        <w:pStyle w:val="ListBullet"/>
      </w:pPr>
      <w:r>
        <w:t>Do not prune reachable policies merely because they are neutral or conflicting with an objective unless a separate authorized rule does so.</w:t>
      </w:r>
    </w:p>
    <w:p>
      <w:pPr>
        <w:pStyle w:val="ListBullet"/>
      </w:pPr>
      <w:r>
        <w:t>Do not rank conflicting objectives unless the application supplies an explicit authorized mechanism outside the objective interface.</w:t>
      </w:r>
    </w:p>
    <w:p>
      <w:pPr>
        <w:pStyle w:val="ListBullet"/>
      </w:pPr>
      <w:r>
        <w:t>Do not let an impossible objective create Graph reachability or a policy.</w:t>
      </w:r>
    </w:p>
    <w:p>
      <w:pPr>
        <w:pStyle w:val="ListBullet"/>
      </w:pPr>
      <w:r>
        <w:t>Do not count capability-development intent as current PP.</w:t>
      </w:r>
    </w:p>
    <w:p>
      <w:pPr>
        <w:pStyle w:val="Heading1"/>
      </w:pPr>
      <w:r>
        <w:t>9. Information Governance Integration</w:t>
      </w:r>
    </w:p>
    <w:p>
      <w:r>
        <w:t>When retrieval or memory is used, the program should carry governance metadata with the information rather than flattening it into a payload plus confidence score.</w:t>
      </w:r>
    </w:p>
    <w:p>
      <w:pPr>
        <w:pStyle w:val="ListBullet"/>
      </w:pPr>
      <w:r>
        <w:t>Quality/confidence describes evidentiary quality, not source authority.</w:t>
      </w:r>
    </w:p>
    <w:p>
      <w:pPr>
        <w:pStyle w:val="ListBullet"/>
      </w:pPr>
      <w:r>
        <w:t>Applicability describes where the information governs.</w:t>
      </w:r>
    </w:p>
    <w:p>
      <w:pPr>
        <w:pStyle w:val="ListBullet"/>
      </w:pPr>
      <w:r>
        <w:t>Permitted-use scope describes which surfaces may use it.</w:t>
      </w:r>
    </w:p>
    <w:p>
      <w:pPr>
        <w:pStyle w:val="ListBullet"/>
      </w:pPr>
      <w:r>
        <w:t>Disposition survives retrieval; rejected, superseded, defective, prohibited, historically valid noncurrent, unresolved, or contradicted material must not silently become current positive evidence.</w:t>
      </w:r>
    </w:p>
    <w:p>
      <w:pPr>
        <w:pStyle w:val="ListBullet"/>
      </w:pPr>
      <w:r>
        <w:t>Valid time and record/knowledge time should be represented where their difference is decision-material.</w:t>
      </w:r>
    </w:p>
    <w:p>
      <w:r>
        <w:t>Legacy retrieval objects without V2.1 governance qualifiers may remain technically usable where compatibility allows, but the benchmark should not claim full V2.1 governance or replay sufficiency from missing metadata.</w:t>
      </w:r>
    </w:p>
    <w:p>
      <w:pPr>
        <w:pStyle w:val="Heading1"/>
      </w:pPr>
      <w:r>
        <w:t>10. Transfer History</w:t>
      </w:r>
    </w:p>
    <w:p>
      <w:r>
        <w:t>Transfer History should be implemented as an event-history service or package owned by the application/host and validated through the runtime interfaces when those surfaces are under test.</w:t>
      </w:r>
    </w:p>
    <w:p>
      <w:pPr>
        <w:pStyle w:val="ListBullet"/>
      </w:pPr>
      <w:r>
        <w:t>Appending an event does not automatically change memory, expectation, current state, PP, or authority.</w:t>
      </w:r>
    </w:p>
    <w:p>
      <w:pPr>
        <w:pStyle w:val="ListBullet"/>
      </w:pPr>
      <w:r>
        <w:t>A history event may be incomplete, disputed, stale, adversarial, or superseded.</w:t>
      </w:r>
    </w:p>
    <w:p>
      <w:pPr>
        <w:pStyle w:val="ListBullet"/>
      </w:pPr>
      <w:r>
        <w:t>If an event creates a material current consequence, that consequence must enter current state through the appropriate state-transition path; the historical event itself is not a substitute.</w:t>
      </w:r>
    </w:p>
    <w:p>
      <w:pPr>
        <w:pStyle w:val="ListBullet"/>
      </w:pPr>
      <w:r>
        <w:t>If the benchmark needs historical reconstruction, preserve the event references and decision-time provenance required by replay.</w:t>
      </w:r>
    </w:p>
    <w:p>
      <w:pPr>
        <w:pStyle w:val="Heading1"/>
      </w:pPr>
      <w:r>
        <w:t>11. State Sufficiency Integration</w:t>
      </w:r>
    </w:p>
    <w:p>
      <w:r>
        <w:t>The application owns the semantic completeness of transition-relevant state. Runtime v0.141 can validate the declared state-sufficiency contract and related invariants; it cannot infer all domain facts that should have been modeled.</w:t>
      </w:r>
    </w:p>
    <w:p>
      <w:pPr>
        <w:pStyle w:val="ListBullet"/>
      </w:pPr>
      <w:r>
        <w:t>Give the state basis a stable identity/version.</w:t>
      </w:r>
    </w:p>
    <w:p>
      <w:pPr>
        <w:pStyle w:val="ListBullet"/>
      </w:pPr>
      <w:r>
        <w:t>Reference all presently material state surfaces required by the declared decision.</w:t>
      </w:r>
    </w:p>
    <w:p>
      <w:pPr>
        <w:pStyle w:val="ListBullet"/>
      </w:pPr>
      <w:r>
        <w:t>Identify admissible context and provenance as required by the benchmark.</w:t>
      </w:r>
    </w:p>
    <w:p>
      <w:pPr>
        <w:pStyle w:val="ListBullet"/>
      </w:pPr>
      <w:r>
        <w:t>Do not infer completeness from history length, confidence, quality, or PP alone.</w:t>
      </w:r>
    </w:p>
    <w:p>
      <w:pPr>
        <w:pStyle w:val="ListBullet"/>
      </w:pPr>
      <w:r>
        <w:t>Do not use Transfer History or replay evidence as a substitute for a missing current-state consequence.</w:t>
      </w:r>
    </w:p>
    <w:p>
      <w:pPr>
        <w:pStyle w:val="Heading1"/>
      </w:pPr>
      <w:r>
        <w:t>12. Replay Integration</w:t>
      </w:r>
    </w:p>
    <w:p>
      <w:r>
        <w:t>If the benchmark claims reproducible historical decision reconstruction, persist a replay package that contains the decision-time basis rather than rebuilding it from the final state.</w:t>
      </w:r>
    </w:p>
    <w:p>
      <w:pPr>
        <w:pStyle w:val="ListBullet"/>
      </w:pPr>
      <w:r>
        <w:t>state basis and relevant P_i(t);</w:t>
      </w:r>
    </w:p>
    <w:p>
      <w:pPr>
        <w:pStyle w:val="ListBullet"/>
      </w:pPr>
      <w:r>
        <w:t>O_i(t) identity/version when objectives were active;</w:t>
      </w:r>
    </w:p>
    <w:p>
      <w:pPr>
        <w:pStyle w:val="ListBullet"/>
      </w:pPr>
      <w:r>
        <w:t>admitted retrieval and information-governance material;</w:t>
      </w:r>
    </w:p>
    <w:p>
      <w:pPr>
        <w:pStyle w:val="ListBullet"/>
      </w:pPr>
      <w:r>
        <w:t>rules/configuration/runtime identifiers;</w:t>
      </w:r>
    </w:p>
    <w:p>
      <w:pPr>
        <w:pStyle w:val="ListBullet"/>
      </w:pPr>
      <w:r>
        <w:t>Graph/Π/completeness and downstream decision trace as applicable;</w:t>
      </w:r>
    </w:p>
    <w:p>
      <w:pPr>
        <w:pStyle w:val="ListBullet"/>
      </w:pPr>
      <w:r>
        <w:t>Constraints, framing, Adequacy, Σ, and execution artifacts as applicable;</w:t>
      </w:r>
    </w:p>
    <w:p>
      <w:pPr>
        <w:pStyle w:val="ListBullet"/>
      </w:pPr>
      <w:r>
        <w:t>Layer-1/environmental evidence needed for the claimed reconstruction.</w:t>
      </w:r>
    </w:p>
    <w:p>
      <w:r>
        <w:t>Later knowledge must not be inserted into the historical package merely because it explains the outcome. Execution completion and replay sufficiency are separate properties.</w:t>
      </w:r>
    </w:p>
    <w:p>
      <w:pPr>
        <w:pStyle w:val="Heading1"/>
      </w:pPr>
      <w:r>
        <w:t>13. Objective Lifecycle and Re-entry</w:t>
      </w:r>
    </w:p>
    <w:p>
      <w:r>
        <w:t>An objective-only lifecycle change is not automatically a state or perception change. The program should invalidate only artifacts that explicitly depend on the changed objective identity/set version and then re-enter through the existing dependency/stage order.</w:t>
      </w:r>
    </w:p>
    <w:p>
      <w:pPr>
        <w:pStyle w:val="ListBullet"/>
      </w:pPr>
      <w:r>
        <w:t>Do not automatically invalidate Phi, H, G, or the represented Graph when only objective lifecycle changes.</w:t>
      </w:r>
    </w:p>
    <w:p>
      <w:pPr>
        <w:pStyle w:val="ListBullet"/>
      </w:pPr>
      <w:r>
        <w:t>Invalidate objective-dependent discovery/retrieval cues or annotations when their registered dependency changed.</w:t>
      </w:r>
    </w:p>
    <w:p>
      <w:pPr>
        <w:pStyle w:val="ListBullet"/>
      </w:pPr>
      <w:r>
        <w:t>If actual state or P_i(t) also changed, use the ordinary state/perception invalidation path rather than disguising it as objective-only re-entry.</w:t>
      </w:r>
    </w:p>
    <w:p>
      <w:pPr>
        <w:pStyle w:val="Heading1"/>
      </w:pPr>
      <w:r>
        <w:t>14. Capability Development</w:t>
      </w:r>
    </w:p>
    <w:p>
      <w:r>
        <w:t>Capability-development benchmarks require a strict temporal path from intent to realized capability.</w:t>
      </w:r>
    </w:p>
    <w:p>
      <w:pPr>
        <w:jc w:val="center"/>
      </w:pPr>
      <w:r>
        <w:rPr>
          <w:b/>
        </w:rPr>
        <w:t>objective / plan -&gt; action or investment -&gt; observed transition -&gt; capability evidence -&gt; reachability refresh -&gt; current PP</w:t>
      </w:r>
    </w:p>
    <w:p>
      <w:r>
        <w:t>Prediction, expectation, training plan, purchased resource, or objective may be evidence relevant to future capability but cannot by itself authorize the benchmark to mark that capability as current PP.</w:t>
      </w:r>
    </w:p>
    <w:p>
      <w:pPr>
        <w:pStyle w:val="Heading1"/>
      </w:pPr>
      <w:r>
        <w:t>15. Synchronous Call-Through</w:t>
      </w:r>
    </w:p>
    <w:p>
      <w:r>
        <w:t>Runtime v0.141 can support registered synchronous native function invocation after the applicable validation and execution-authorization path. The registered function may itself call an agent, library, process, or external service, subject to the host environment.</w:t>
      </w:r>
    </w:p>
    <w:p>
      <w:pPr>
        <w:pStyle w:val="ListBullet"/>
      </w:pPr>
      <w:r>
        <w:t>Treat the callable return and the environmental effect as separate evidence.</w:t>
      </w:r>
    </w:p>
    <w:p>
      <w:pPr>
        <w:pStyle w:val="ListBullet"/>
      </w:pPr>
      <w:r>
        <w:t>Propagate structured call errors back through the runtime/caller path rather than treating exceptions as successful execution.</w:t>
      </w:r>
    </w:p>
    <w:p>
      <w:pPr>
        <w:pStyle w:val="ListBullet"/>
      </w:pPr>
      <w:r>
        <w:t>Do not assume a successful return proves the intended external state change.</w:t>
      </w:r>
    </w:p>
    <w:p>
      <w:pPr>
        <w:pStyle w:val="ListBullet"/>
      </w:pPr>
      <w:r>
        <w:t>Do not claim mid-flight runtime sensing, autonomous cancellation, or external instrumentation. v0.141 has no asynchronous sensing or instrumentation hooks.</w:t>
      </w:r>
    </w:p>
    <w:p>
      <w:pPr>
        <w:pStyle w:val="ListBullet"/>
      </w:pPr>
      <w:r>
        <w:t>If an external condition changes during a long call, detection must come from host/application instrumentation or a later governed evaluation, not from an unimplemented runtime capability.</w:t>
      </w:r>
    </w:p>
    <w:p>
      <w:pPr>
        <w:pStyle w:val="Heading1"/>
      </w:pPr>
      <w:r>
        <w:t>16. Environment and Layer-1 Ownership</w:t>
      </w:r>
    </w:p>
    <w:p>
      <w:r>
        <w:t>The environment or application owns authoritative domain mutation. The runtime can validate and govern the execution transition, but benchmark code must determine what actually happened in the simulated or external environment and then apply the authoritative state update.</w:t>
      </w:r>
    </w:p>
    <w:p>
      <w:r>
        <w:t>This distinction prevents a common testing error: treating 'runtime allowed the action' or 'function returned OK' as equivalent to 'the modeled world reached the intended next state.'</w:t>
      </w:r>
    </w:p>
    <w:p>
      <w:pPr>
        <w:pStyle w:val="Heading1"/>
      </w:pPr>
      <w:r>
        <w:t>17. Trial Harness</w:t>
      </w:r>
    </w:p>
    <w:p>
      <w:r>
        <w:t>Each trial should explicitly bind:</w:t>
      </w:r>
    </w:p>
    <w:p>
      <w:pPr>
        <w:pStyle w:val="ListBullet"/>
      </w:pPr>
      <w:r>
        <w:t>benchmark and code version;</w:t>
      </w:r>
    </w:p>
    <w:p>
      <w:pPr>
        <w:pStyle w:val="ListBullet"/>
      </w:pPr>
      <w:r>
        <w:t>framework/runtime version and configuration;</w:t>
      </w:r>
    </w:p>
    <w:p>
      <w:pPr>
        <w:pStyle w:val="ListBullet"/>
      </w:pPr>
      <w:r>
        <w:t>random seed where stochastic;</w:t>
      </w:r>
    </w:p>
    <w:p>
      <w:pPr>
        <w:pStyle w:val="ListBullet"/>
      </w:pPr>
      <w:r>
        <w:t>initial authoritative state;</w:t>
      </w:r>
    </w:p>
    <w:p>
      <w:pPr>
        <w:pStyle w:val="ListBullet"/>
      </w:pPr>
      <w:r>
        <w:t>initial P_i(t) and O_i(t) where relevant;</w:t>
      </w:r>
    </w:p>
    <w:p>
      <w:pPr>
        <w:pStyle w:val="ListBullet"/>
      </w:pPr>
      <w:r>
        <w:t>controlled perturbation;</w:t>
      </w:r>
    </w:p>
    <w:p>
      <w:pPr>
        <w:pStyle w:val="ListBullet"/>
      </w:pPr>
      <w:r>
        <w:t>baseline/policy identity;</w:t>
      </w:r>
    </w:p>
    <w:p>
      <w:pPr>
        <w:pStyle w:val="ListBullet"/>
      </w:pPr>
      <w:r>
        <w:t>information/history inputs;</w:t>
      </w:r>
    </w:p>
    <w:p>
      <w:pPr>
        <w:pStyle w:val="ListBullet"/>
      </w:pPr>
      <w:r>
        <w:t>expected invariant or acceptance criterion;</w:t>
      </w:r>
    </w:p>
    <w:p>
      <w:pPr>
        <w:pStyle w:val="ListBullet"/>
      </w:pPr>
      <w:r>
        <w:t>trace destination and result schema.</w:t>
      </w:r>
    </w:p>
    <w:p>
      <w:r>
        <w:t>For paired or ablation tests, change only the declared independent variable whenever possible. A benchmark that changes state, objective, policy, constraints, and environment simultaneously cannot isolate the mechanism it claims to test.</w:t>
      </w:r>
    </w:p>
    <w:p>
      <w:pPr>
        <w:pStyle w:val="Heading1"/>
      </w:pPr>
      <w:r>
        <w:t>18. Logging and Trace Design</w:t>
      </w:r>
    </w:p>
    <w:p>
      <w:r>
        <w:t>Logs should support explanation, not merely debugging. Record enough structured information to distinguish why a candidate was absent, rejected, inadequate, unselected, unauthorized for execution, technically failed, or environmentally failed.</w:t>
      </w:r>
    </w:p>
    <w:p>
      <w:pPr>
        <w:pStyle w:val="ListBullet"/>
      </w:pPr>
      <w:r>
        <w:t>trial/case identity and timestamps;</w:t>
      </w:r>
    </w:p>
    <w:p>
      <w:pPr>
        <w:pStyle w:val="ListBullet"/>
      </w:pPr>
      <w:r>
        <w:t>state/P/O identities and versions;</w:t>
      </w:r>
    </w:p>
    <w:p>
      <w:pPr>
        <w:pStyle w:val="ListBullet"/>
      </w:pPr>
      <w:r>
        <w:t>admitted retrieval/governance decisions;</w:t>
      </w:r>
    </w:p>
    <w:p>
      <w:pPr>
        <w:pStyle w:val="ListBullet"/>
      </w:pPr>
      <w:r>
        <w:t>objective responsiveness/discovery records where tested;</w:t>
      </w:r>
    </w:p>
    <w:p>
      <w:pPr>
        <w:pStyle w:val="ListBullet"/>
      </w:pPr>
      <w:r>
        <w:t>reachability/candidate/completeness decisions;</w:t>
      </w:r>
    </w:p>
    <w:p>
      <w:pPr>
        <w:pStyle w:val="ListBullet"/>
      </w:pPr>
      <w:r>
        <w:t>constraint, framing, and adequacy results;</w:t>
      </w:r>
    </w:p>
    <w:p>
      <w:pPr>
        <w:pStyle w:val="ListBullet"/>
      </w:pPr>
      <w:r>
        <w:t>selection and execution authorization;</w:t>
      </w:r>
    </w:p>
    <w:p>
      <w:pPr>
        <w:pStyle w:val="ListBullet"/>
      </w:pPr>
      <w:r>
        <w:t>native-call result/error if used;</w:t>
      </w:r>
    </w:p>
    <w:p>
      <w:pPr>
        <w:pStyle w:val="ListBullet"/>
      </w:pPr>
      <w:r>
        <w:t>environmental realization and authoritative state transition;</w:t>
      </w:r>
    </w:p>
    <w:p>
      <w:pPr>
        <w:pStyle w:val="ListBullet"/>
      </w:pPr>
      <w:r>
        <w:t>PV and other typed consequences;</w:t>
      </w:r>
    </w:p>
    <w:p>
      <w:pPr>
        <w:pStyle w:val="ListBullet"/>
      </w:pPr>
      <w:r>
        <w:t>acceptance-criterion result and failure explanation.</w:t>
      </w:r>
    </w:p>
    <w:p>
      <w:pPr>
        <w:pStyle w:val="Heading1"/>
      </w:pPr>
      <w:r>
        <w:t>19. Error Taxonomy</w:t>
      </w:r>
    </w:p>
    <w:p>
      <w:r>
        <w:t>Keep at least these error classes distinguishable:</w:t>
      </w:r>
    </w:p>
    <w:p>
      <w:pPr>
        <w:pStyle w:val="ListBullet"/>
      </w:pPr>
      <w:r>
        <w:t>model/setup error: invalid benchmark specification or missing required modeled state;</w:t>
      </w:r>
    </w:p>
    <w:p>
      <w:pPr>
        <w:pStyle w:val="ListBullet"/>
      </w:pPr>
      <w:r>
        <w:t>runtime validation refusal: malformed or semantically invalid runtime input;</w:t>
      </w:r>
    </w:p>
    <w:p>
      <w:pPr>
        <w:pStyle w:val="ListBullet"/>
      </w:pPr>
      <w:r>
        <w:t>governance refusal: candidate/evidence/action not authorized or admissible;</w:t>
      </w:r>
    </w:p>
    <w:p>
      <w:pPr>
        <w:pStyle w:val="ListBullet"/>
      </w:pPr>
      <w:r>
        <w:t>selection absence/unresolved result: no authorized selection under the represented decision surface;</w:t>
      </w:r>
    </w:p>
    <w:p>
      <w:pPr>
        <w:pStyle w:val="ListBullet"/>
      </w:pPr>
      <w:r>
        <w:t>execution authorization failure: selected policy cannot proceed through epsilon;</w:t>
      </w:r>
    </w:p>
    <w:p>
      <w:pPr>
        <w:pStyle w:val="ListBullet"/>
      </w:pPr>
      <w:r>
        <w:t>callable/technical failure: registered function raises/returns an execution error;</w:t>
      </w:r>
    </w:p>
    <w:p>
      <w:pPr>
        <w:pStyle w:val="ListBullet"/>
      </w:pPr>
      <w:r>
        <w:t>environmental realization failure: call occurred but intended external effect did not;</w:t>
      </w:r>
    </w:p>
    <w:p>
      <w:pPr>
        <w:pStyle w:val="ListBullet"/>
      </w:pPr>
      <w:r>
        <w:t>state-transition/update failure: environment result cannot be validly reconciled into authoritative next state;</w:t>
      </w:r>
    </w:p>
    <w:p>
      <w:pPr>
        <w:pStyle w:val="ListBullet"/>
      </w:pPr>
      <w:r>
        <w:t>replay insufficiency: historical evidence is insufficient for the claimed reconstruction;</w:t>
      </w:r>
    </w:p>
    <w:p>
      <w:pPr>
        <w:pStyle w:val="ListBullet"/>
      </w:pPr>
      <w:r>
        <w:t>benchmark assertion failure: observed behavior violates a predeclared invariant.</w:t>
      </w:r>
    </w:p>
    <w:p>
      <w:r>
        <w:t>Do not collapse these into a single success Boolean. Their separation is part of what the benchmark is supposed to expose.</w:t>
      </w:r>
    </w:p>
    <w:p>
      <w:pPr>
        <w:pStyle w:val="Heading1"/>
      </w:pPr>
      <w:r>
        <w:t>20. Testing Strategy</w:t>
      </w:r>
    </w:p>
    <w:p>
      <w:pPr>
        <w:pStyle w:val="Heading2"/>
      </w:pPr>
      <w:r>
        <w:t>20.1 Unit tests</w:t>
      </w:r>
    </w:p>
    <w:p>
      <w:r>
        <w:t>Test adapters, state transitions, metrics, fixtures, and domain logic independently.</w:t>
      </w:r>
    </w:p>
    <w:p>
      <w:pPr>
        <w:pStyle w:val="Heading2"/>
      </w:pPr>
      <w:r>
        <w:t>20.2 Runtime contract tests</w:t>
      </w:r>
    </w:p>
    <w:p>
      <w:r>
        <w:t>Test the exact v0.141 surfaces the benchmark depends on, including hostile and malformed inputs.</w:t>
      </w:r>
    </w:p>
    <w:p>
      <w:pPr>
        <w:pStyle w:val="Heading2"/>
      </w:pPr>
      <w:r>
        <w:t>20.3 Invariant tests</w:t>
      </w:r>
    </w:p>
    <w:p>
      <w:r>
        <w:t>Assert sovereignty boundaries—for example, objectives cannot create reachability; confidence cannot create authority; history cannot substitute for current state; selection cannot imply environmental realization.</w:t>
      </w:r>
    </w:p>
    <w:p>
      <w:pPr>
        <w:pStyle w:val="Heading2"/>
      </w:pPr>
      <w:r>
        <w:t>20.4 Regression tests</w:t>
      </w:r>
    </w:p>
    <w:p>
      <w:r>
        <w:t>Bank expected behavior after the benchmark is stabilized. Record the test count and version, but do not generalize a passing regression suite into empirical validation.</w:t>
      </w:r>
    </w:p>
    <w:p>
      <w:pPr>
        <w:pStyle w:val="Heading2"/>
      </w:pPr>
      <w:r>
        <w:t>20.5 Comparative tests</w:t>
      </w:r>
    </w:p>
    <w:p>
      <w:r>
        <w:t>When comparing PV-PP with another method, use a strong comparator and the same environment, initial state, perturbation, and outcome definitions wherever possible.</w:t>
      </w:r>
    </w:p>
    <w:p>
      <w:pPr>
        <w:pStyle w:val="Heading1"/>
      </w:pPr>
      <w:r>
        <w:t>21. Small Economy V2.1 Reference Pattern</w:t>
      </w:r>
    </w:p>
    <w:p>
      <w:r>
        <w:t>The Small Economy V2.1 benchmark provides the current reference pattern for objective perturbation. Its cases vary attainable objectives, conflicting objectives, objective-versus-viability conflict, impossible objectives, capability development, objective lifecycle, prohibited evidence, and a no-objective control while preserving the structural reachability substrate.</w:t>
      </w:r>
    </w:p>
    <w:p>
      <w:r>
        <w:t>The programming lesson is more important than the domain: the experimental harness perturbs objective/evidence inputs while the canonical governance path remains fixed, then asserts that only authorized dependent surfaces change.</w:t>
      </w:r>
    </w:p>
    <w:p>
      <w:pPr>
        <w:pStyle w:val="Heading1"/>
      </w:pPr>
      <w:r>
        <w:t>22. Standalone Teaching Benchmark Pattern</w:t>
      </w:r>
    </w:p>
    <w:p>
      <w:r>
        <w:t>For a narrow benchmark such as Safe Margin vs Fast Gain, the code may intentionally omit the full runtime and model only the proposition under study. The developer reference should state:</w:t>
      </w:r>
    </w:p>
    <w:p>
      <w:pPr>
        <w:pStyle w:val="ListBullet"/>
      </w:pPr>
      <w:r>
        <w:t>which PV-PP concepts are implemented;</w:t>
      </w:r>
    </w:p>
    <w:p>
      <w:pPr>
        <w:pStyle w:val="ListBullet"/>
      </w:pPr>
      <w:r>
        <w:t>which canonical operators/runtime surfaces are omitted;</w:t>
      </w:r>
    </w:p>
    <w:p>
      <w:pPr>
        <w:pStyle w:val="ListBullet"/>
      </w:pPr>
      <w:r>
        <w:t>what the reward/task baseline represents;</w:t>
      </w:r>
    </w:p>
    <w:p>
      <w:pPr>
        <w:pStyle w:val="ListBullet"/>
      </w:pPr>
      <w:r>
        <w:t>what viability or structural condition is independently tracked;</w:t>
      </w:r>
    </w:p>
    <w:p>
      <w:pPr>
        <w:pStyle w:val="ListBullet"/>
      </w:pPr>
      <w:r>
        <w:t>why the result is illustrative rather than a full-framework validation.</w:t>
      </w:r>
    </w:p>
    <w:p>
      <w:pPr>
        <w:pStyle w:val="Heading1"/>
      </w:pPr>
      <w:r>
        <w:t>23. Reproducibility Package</w:t>
      </w:r>
    </w:p>
    <w:p>
      <w:r>
        <w:t>A publishable benchmark should package, where applicable:</w:t>
      </w:r>
    </w:p>
    <w:p>
      <w:pPr>
        <w:pStyle w:val="ListBullet"/>
      </w:pPr>
      <w:r>
        <w:t>source code and immutable revision/tag or archive hash;</w:t>
      </w:r>
    </w:p>
    <w:p>
      <w:pPr>
        <w:pStyle w:val="ListBullet"/>
      </w:pPr>
      <w:r>
        <w:t>requirements/dependency versions;</w:t>
      </w:r>
    </w:p>
    <w:p>
      <w:pPr>
        <w:pStyle w:val="ListBullet"/>
      </w:pPr>
      <w:r>
        <w:t>runtime package/version/hash where used;</w:t>
      </w:r>
    </w:p>
    <w:p>
      <w:pPr>
        <w:pStyle w:val="ListBullet"/>
      </w:pPr>
      <w:r>
        <w:t>scenario/model specification;</w:t>
      </w:r>
    </w:p>
    <w:p>
      <w:pPr>
        <w:pStyle w:val="ListBullet"/>
      </w:pPr>
      <w:r>
        <w:t>benchmark design specification;</w:t>
      </w:r>
    </w:p>
    <w:p>
      <w:pPr>
        <w:pStyle w:val="ListBullet"/>
      </w:pPr>
      <w:r>
        <w:t>configuration files and seeds;</w:t>
      </w:r>
    </w:p>
    <w:p>
      <w:pPr>
        <w:pStyle w:val="ListBullet"/>
      </w:pPr>
      <w:r>
        <w:t>test suite and expected regression result;</w:t>
      </w:r>
    </w:p>
    <w:p>
      <w:pPr>
        <w:pStyle w:val="ListBullet"/>
      </w:pPr>
      <w:r>
        <w:t>commands or entry points for reproducing runs;</w:t>
      </w:r>
    </w:p>
    <w:p>
      <w:pPr>
        <w:pStyle w:val="ListBullet"/>
      </w:pPr>
      <w:r>
        <w:t>raw or reconstructable outputs plus summary results;</w:t>
      </w:r>
    </w:p>
    <w:p>
      <w:pPr>
        <w:pStyle w:val="ListBullet"/>
      </w:pPr>
      <w:r>
        <w:t>developer reference and limitations statement.</w:t>
      </w:r>
    </w:p>
    <w:p>
      <w:pPr>
        <w:pStyle w:val="Heading1"/>
      </w:pPr>
      <w:r>
        <w:t>24. Anti-Patterns</w:t>
      </w:r>
    </w:p>
    <w:p>
      <w:pPr>
        <w:pStyle w:val="ListBullet"/>
      </w:pPr>
      <w:r>
        <w:t>Reimplementing runtime behavior in benchmark code while claiming the result tests the runtime.</w:t>
      </w:r>
    </w:p>
    <w:p>
      <w:pPr>
        <w:pStyle w:val="ListBullet"/>
      </w:pPr>
      <w:r>
        <w:t>Using objective score as a hidden selector after claiming objectives are descriptive.</w:t>
      </w:r>
    </w:p>
    <w:p>
      <w:pPr>
        <w:pStyle w:val="ListBullet"/>
      </w:pPr>
      <w:r>
        <w:t>Setting PP directly from a future objective, forecast, or purchased resource without realized capability evidence.</w:t>
      </w:r>
    </w:p>
    <w:p>
      <w:pPr>
        <w:pStyle w:val="ListBullet"/>
      </w:pPr>
      <w:r>
        <w:t>Treating a successful Python return as the authoritative environmental transition.</w:t>
      </w:r>
    </w:p>
    <w:p>
      <w:pPr>
        <w:pStyle w:val="ListBullet"/>
      </w:pPr>
      <w:r>
        <w:t>Updating actual state from perceived state without an environmental/state-transition basis.</w:t>
      </w:r>
    </w:p>
    <w:p>
      <w:pPr>
        <w:pStyle w:val="ListBullet"/>
      </w:pPr>
      <w:r>
        <w:t>Using confidence or relevance as a substitute for source authority or permitted use.</w:t>
      </w:r>
    </w:p>
    <w:p>
      <w:pPr>
        <w:pStyle w:val="ListBullet"/>
      </w:pPr>
      <w:r>
        <w:t>Reading final-state information back into the historical decision trace.</w:t>
      </w:r>
    </w:p>
    <w:p>
      <w:pPr>
        <w:pStyle w:val="ListBullet"/>
      </w:pPr>
      <w:r>
        <w:t>Changing framework semantics between baseline and experimental arms.</w:t>
      </w:r>
    </w:p>
    <w:p>
      <w:pPr>
        <w:pStyle w:val="ListBullet"/>
      </w:pPr>
      <w:r>
        <w:t>Reporting a benchmark win as proof of general PV-PP superiority.</w:t>
      </w:r>
    </w:p>
    <w:p>
      <w:pPr>
        <w:pStyle w:val="ListBullet"/>
      </w:pPr>
      <w:r>
        <w:t>Attributing async sensing or instrumentation to frozen v0.141.</w:t>
      </w:r>
    </w:p>
    <w:p>
      <w:pPr>
        <w:pStyle w:val="Heading1"/>
      </w:pPr>
      <w:r>
        <w:t>25. Implementation Checklist</w:t>
      </w:r>
    </w:p>
    <w:p>
      <w:r>
        <w:t>1. Completed scenario/model specification</w:t>
      </w:r>
    </w:p>
    <w:p>
      <w:r>
        <w:t>2. Completed Benchmark Design Guide specification</w:t>
      </w:r>
    </w:p>
    <w:p>
      <w:r>
        <w:t>3. Declared runtime-integrated, standalone, or hybrid mode</w:t>
      </w:r>
    </w:p>
    <w:p>
      <w:r>
        <w:t>4. Environment owns authoritative state</w:t>
      </w:r>
    </w:p>
    <w:p>
      <w:r>
        <w:t>5. Runtime adapter isolated</w:t>
      </w:r>
    </w:p>
    <w:p>
      <w:r>
        <w:t>6. P_i(t) and O_i(t) separate where used</w:t>
      </w:r>
    </w:p>
    <w:p>
      <w:r>
        <w:t>7. No objective-derived hidden authority</w:t>
      </w:r>
    </w:p>
    <w:p>
      <w:r>
        <w:t>8. PP updates require realized/evidenced capability transition</w:t>
      </w:r>
    </w:p>
    <w:p>
      <w:r>
        <w:t>9. Information governance fields preserved where tested</w:t>
      </w:r>
    </w:p>
    <w:p>
      <w:r>
        <w:t>10. Transfer History kept role-distinct</w:t>
      </w:r>
    </w:p>
    <w:p>
      <w:r>
        <w:t>11. State-sufficiency basis declared where required</w:t>
      </w:r>
    </w:p>
    <w:p>
      <w:r>
        <w:t>12. Replay package retained where reconstruction is claimed</w:t>
      </w:r>
    </w:p>
    <w:p>
      <w:r>
        <w:t>13. Canonical stage/dependency order preserved</w:t>
      </w:r>
    </w:p>
    <w:p>
      <w:r>
        <w:t>14. Execution result separated from environmental realization</w:t>
      </w:r>
    </w:p>
    <w:p>
      <w:r>
        <w:t>15. Layer-1 update explicit</w:t>
      </w:r>
    </w:p>
    <w:p>
      <w:r>
        <w:t>16. Errors typed rather than collapsed</w:t>
      </w:r>
    </w:p>
    <w:p>
      <w:r>
        <w:t>17. Trial variables/controls fixed</w:t>
      </w:r>
    </w:p>
    <w:p>
      <w:r>
        <w:t>18. Seeds/configuration recorded</w:t>
      </w:r>
    </w:p>
    <w:p>
      <w:r>
        <w:t>19. Acceptance criteria predeclared</w:t>
      </w:r>
    </w:p>
    <w:p>
      <w:r>
        <w:t>20. Runtime version recorded</w:t>
      </w:r>
    </w:p>
    <w:p>
      <w:r>
        <w:t>21. v0.141 synchronous limitation documented</w:t>
      </w:r>
    </w:p>
    <w:p>
      <w:r>
        <w:t>22. Tests and regression result recorded</w:t>
      </w:r>
    </w:p>
    <w:p>
      <w:r>
        <w:t>23. Limitations and excluded claims documented</w:t>
      </w:r>
    </w:p>
    <w:p>
      <w:pPr>
        <w:pStyle w:val="Heading1"/>
      </w:pPr>
      <w:r>
        <w:t>26. Summary</w:t>
      </w:r>
    </w:p>
    <w:p>
      <w:r>
        <w:t>Version 2.1 benchmark programming no longer starts from the assumption that every benchmark must build its own PV-PP governance machinery. The preferred implementation separates domain truth, experimental control, and runtime governance. Use frozen Runtime v0.141 for the canonical behaviors it actually implements; keep environment state and instrumentation application-owned; preserve the distinctions among actual state, perceived state, objectives, evidence, history, selection, execution, realization, and Layer-1 transition; and make the trace rich enough that a reviewer can determine why the benchmark produced its result. Narrow standalone benchmarks remain legitimate when their scope and omissions are explicit.</w:t>
      </w:r>
    </w:p>
    <w:sectPr w:rsidR="00FC693F" w:rsidRPr="0006063C" w:rsidSect="00034616">
      <w:headerReference w:type="default" r:id="rId9"/>
      <w:footerReference w:type="default" r:id="rId10"/>
      <w:pgSz w:w="12240" w:h="15840"/>
      <w:pgMar w:top="965" w:right="1051" w:bottom="965"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Amundsen R&amp;D LLC | Implementation → Evidence / Benchmarking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PV-PP Benchmark Programming and Runtime Integration Guide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