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b/>
          <w:bCs/>
          <w:sz w:val="28"/>
          <w:szCs w:val="28"/>
        </w:rPr>
        <w:t xml:space="preserve">RESUMEN EJECUTIVO: STACK TECNOLÓGICO PROPUESTO</w:t>
      </w:r>
    </w:p>
    <w:p>
      <w:pPr>
        <w:spacing w:after="60"/>
      </w:pPr>
    </w:p>
    <w:p>
      <w:pPr>
        <w:spacing w:after="120" w:before="0" w:line="276"/>
        <w:jc w:val="both"/>
      </w:pPr>
      <w:r>
        <w:rPr>
          <w:rFonts w:ascii="Calibri" w:cs="Calibri" w:eastAsia="Calibri" w:hAnsi="Calibri"/>
          <w:b w:val="false"/>
          <w:bCs w:val="false"/>
          <w:i/>
          <w:iCs/>
          <w:sz w:val="22"/>
          <w:szCs w:val="22"/>
        </w:rPr>
        <w:t xml:space="preserve">A continuación se presenta el resumen del stack tecnológico seleccionado para el desarrollo del portal astrodoncel.uah.es, junto con la justificación frente a alternativas consideradas.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3626"/>
      </w:tblGrid>
      <w:tr>
        <w:tc>
          <w:tcPr>
            <w:tcW w:type="dxa" w:w="1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r>
              <w:rPr>
                <w:rFonts w:ascii="Calibri" w:cs="Calibri" w:eastAsia="Calibri" w:hAnsi="Calibri"/>
                <w:b/>
                <w:bCs/>
                <w:color w:val="FFFFFF"/>
                <w:sz w:val="18"/>
                <w:szCs w:val="18"/>
              </w:rPr>
              <w:t xml:space="preserve">Capa</w:t>
            </w:r>
          </w:p>
        </w:tc>
        <w:tc>
          <w:tcPr>
            <w:tcW w:type="dxa" w:w="20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r>
              <w:rPr>
                <w:rFonts w:ascii="Calibri" w:cs="Calibri" w:eastAsia="Calibri" w:hAnsi="Calibri"/>
                <w:b/>
                <w:bCs/>
                <w:color w:val="FFFFFF"/>
                <w:sz w:val="18"/>
                <w:szCs w:val="18"/>
              </w:rPr>
              <w:t xml:space="preserve">Tecnología elegida</w:t>
            </w:r>
          </w:p>
        </w:tc>
        <w:tc>
          <w:tcPr>
            <w:tcW w:type="dxa" w:w="2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r>
              <w:rPr>
                <w:rFonts w:ascii="Calibri" w:cs="Calibri" w:eastAsia="Calibri" w:hAnsi="Calibri"/>
                <w:b/>
                <w:bCs/>
                <w:color w:val="FFFFFF"/>
                <w:sz w:val="18"/>
                <w:szCs w:val="18"/>
              </w:rPr>
              <w:t xml:space="preserve">Alternativas descartadas</w:t>
            </w:r>
          </w:p>
        </w:tc>
        <w:tc>
          <w:tcPr>
            <w:tcW w:type="dxa" w:w="36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r>
              <w:rPr>
                <w:rFonts w:ascii="Calibri" w:cs="Calibri" w:eastAsia="Calibri" w:hAnsi="Calibri"/>
                <w:b/>
                <w:bCs/>
                <w:color w:val="FFFFFF"/>
                <w:sz w:val="18"/>
                <w:szCs w:val="18"/>
              </w:rPr>
              <w:t xml:space="preserve">Razón principal</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Back-end (API)</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Python 3.12 + FastAPI</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Django, Flask, Node.js/Express</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Rendimiento asíncrono nativo; validación automática con Pydantic; documentación OpenAPI auto-generada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Procesamiento científico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Astropy + NumPy + SciPy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IDL, MATLAB, fitsio standalone</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Lectura nativa FITS (astropy.io.fits); ecosistema científico Python consolidado; licencia libre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Clasificación IA</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Scikit-learn + TensorFlow/Keras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PyTorch, modelos propietarios</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Amplia documentación; modelos CNN probados en clasificación de SRBs; ligero para despliegue en NAS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Front-end (SPA)</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React 18 + Vite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Angular, Vue.js, Svelte</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Ecosistema más extenso; compatibilidad total con Plotly React; rendimiento óptimo con Vite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Visualización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Plotly.js (heatmapgl, WebGL)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D3.js, Chart.js, LightningChart</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Heatmaps con aceleración GPU nativa; zoom/pan interactivo; integración directa con React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Base de datos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PostgreSQL 17</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MySQL, MariaDB, MongoDB</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Soporte JSONB para metadatos flexibles; consultas avanzadas; robusto en Docker/NAS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Contenedorización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Docker Compose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Instalación nativa, Podman</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Reproducibilidad; aislamiento de servicios; despliegue estándar en NAS Synology/QNAP</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Proxy inverso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Nginx</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Apache, Traefik, Caddy</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Bajo consumo de memoria; rendimiento para servir archivos estáticos; ampliamente documentado</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Control de versiones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Git + GitHub</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GitLab, Bitbucket, SVN</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Estándar de la industria; integración con CI/CD; colaboración académica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IA generativa (apoyo)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GitHub Copilot + Claude (Anthropic)</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ChatGPT, Gemini, Tabnine</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val="false"/>
                <w:bCs w:val="false"/>
                <w:color w:val="333333"/>
                <w:sz w:val="18"/>
                <w:szCs w:val="18"/>
              </w:rPr>
              <w:t xml:space="preserve">Copilot integrado en IDE; Claude para análisis de documentación técnica y refactorización</w:t>
            </w:r>
          </w:p>
        </w:tc>
      </w:tr>
    </w:tbl>
    <w:p>
      <w:pPr>
        <w:spacing w:after="60"/>
      </w:pPr>
    </w:p>
    <w:p>
      <w:pPr>
        <w:spacing w:after="120" w:before="0" w:line="276"/>
        <w:jc w:val="both"/>
      </w:pPr>
      <w:r>
        <w:rPr>
          <w:rFonts w:ascii="Calibri" w:cs="Calibri" w:eastAsia="Calibri" w:hAnsi="Calibri"/>
          <w:b w:val="false"/>
          <w:bCs w:val="false"/>
          <w:i w:val="false"/>
          <w:iCs w:val="false"/>
          <w:sz w:val="22"/>
          <w:szCs w:val="22"/>
        </w:rPr>
        <w:t xml:space="preserve">Este stack ha sido diseñado priorizando tres criterios: (1) rendimiento en el tratamiento de datos científicos masivos en formato FITS, (2) fluidez en la visualización gráfica interactiva de espectrogramas y (3) escalabilidad en un entorno de despliegue limitado (servidor NAS).</w:t>
      </w:r>
    </w:p>
    <w:p>
      <w:r>
        <w:br w:type="page"/>
      </w:r>
    </w:p>
    <w:p>
      <w:pPr>
        <w:pStyle w:val="Heading1"/>
        <w:spacing w:after="120" w:before="240"/>
      </w:pPr>
      <w:r>
        <w:rPr>
          <w:rFonts w:ascii="Calibri" w:cs="Calibri" w:eastAsia="Calibri" w:hAnsi="Calibri"/>
          <w:b/>
          <w:bCs/>
          <w:sz w:val="28"/>
          <w:szCs w:val="28"/>
        </w:rPr>
        <w:t xml:space="preserve">5. Medios</w:t>
      </w:r>
    </w:p>
    <w:p>
      <w:pPr>
        <w:spacing w:after="60"/>
      </w:pPr>
    </w:p>
    <w:p>
      <w:pPr>
        <w:spacing w:after="120" w:before="0" w:line="276"/>
        <w:jc w:val="both"/>
      </w:pPr>
      <w:r>
        <w:rPr>
          <w:rFonts w:ascii="Calibri" w:cs="Calibri" w:eastAsia="Calibri" w:hAnsi="Calibri"/>
          <w:b w:val="false"/>
          <w:bCs w:val="false"/>
          <w:i w:val="false"/>
          <w:iCs w:val="false"/>
          <w:sz w:val="22"/>
          <w:szCs w:val="22"/>
        </w:rPr>
        <w:t xml:space="preserve">Se utilizarán herramientas informáticas de modelado, simulación y desarrollo gratuitas disponibles en internet. Es posible, además, que se requieran desplazamientos puntuales a Sigüenza para pruebas in situ. Los posibles desplazamientos serían financiados por el Departamento de Automática o el Space Research Group de la Universidad de Alcalá.</w:t>
      </w:r>
    </w:p>
    <w:p>
      <w:pPr>
        <w:spacing w:after="60"/>
      </w:pPr>
    </w:p>
    <w:p>
      <w:pPr>
        <w:spacing w:after="120" w:before="0" w:line="276"/>
        <w:jc w:val="both"/>
      </w:pPr>
      <w:r>
        <w:rPr>
          <w:rFonts w:ascii="Calibri" w:cs="Calibri" w:eastAsia="Calibri" w:hAnsi="Calibri"/>
          <w:b w:val="false"/>
          <w:bCs w:val="false"/>
          <w:i w:val="false"/>
          <w:iCs w:val="false"/>
          <w:sz w:val="22"/>
          <w:szCs w:val="22"/>
        </w:rPr>
        <w:t xml:space="preserve">A continuación se detalla la propuesta técnica completa, justificando cada elección tecnológica en función de los requisitos específicos del dominio de la radioespectroscopía solar y las restricciones de despliegue en un servidor NAS.</w:t>
      </w:r>
    </w:p>
    <w:p>
      <w:pPr>
        <w:spacing w:after="60"/>
      </w:pPr>
    </w:p>
    <w:p>
      <w:pPr>
        <w:pStyle w:val="Heading2"/>
        <w:spacing w:after="120" w:before="240"/>
      </w:pPr>
      <w:r>
        <w:rPr>
          <w:rFonts w:ascii="Calibri" w:cs="Calibri" w:eastAsia="Calibri" w:hAnsi="Calibri"/>
          <w:b/>
          <w:bCs/>
          <w:sz w:val="26"/>
          <w:szCs w:val="26"/>
        </w:rPr>
        <w:t xml:space="preserve">5.1. Back-end y procesamiento científico: Python + FastAPI + Astropy</w:t>
      </w:r>
    </w:p>
    <w:p>
      <w:pPr>
        <w:spacing w:after="120" w:before="0" w:line="276"/>
        <w:ind w:firstLine="360"/>
        <w:jc w:val="both"/>
      </w:pPr>
      <w:r>
        <w:rPr>
          <w:rFonts w:ascii="Calibri" w:cs="Calibri" w:eastAsia="Calibri" w:hAnsi="Calibri"/>
          <w:b w:val="false"/>
          <w:bCs w:val="false"/>
          <w:i w:val="false"/>
          <w:iCs w:val="false"/>
          <w:sz w:val="22"/>
          <w:szCs w:val="22"/>
        </w:rPr>
        <w:t xml:space="preserve">El núcleo del procesamiento de datos del sistema se implementará en Python (versión 3.12 o superior), empleando el framework FastAPI como servidor de la API REST. Esta elección se fundamenta en que Python es, en la actualidad, el lenguaje dominante en computación científica y astronomía, respaldado por un ecosistema de bibliotecas sin equivalente en otros lenguajes para el tratamiento de datos astronómicos.</w:t>
      </w:r>
    </w:p>
    <w:p>
      <w:pPr>
        <w:spacing w:after="120" w:before="0" w:line="276"/>
        <w:ind w:firstLine="360"/>
        <w:jc w:val="both"/>
      </w:pPr>
      <w:r>
        <w:rPr>
          <w:rFonts w:ascii="Calibri" w:cs="Calibri" w:eastAsia="Calibri" w:hAnsi="Calibri"/>
          <w:b/>
          <w:bCs/>
          <w:sz w:val="22"/>
          <w:szCs w:val="22"/>
        </w:rPr>
        <w:t xml:space="preserve">Lectura nativa de archivos FITS. </w:t>
      </w:r>
      <w:r>
        <w:rPr>
          <w:rFonts w:ascii="Calibri" w:cs="Calibri" w:eastAsia="Calibri" w:hAnsi="Calibri"/>
          <w:sz w:val="22"/>
          <w:szCs w:val="22"/>
        </w:rPr>
        <w:t xml:space="preserve">La biblioteca Astropy, y en concreto su módulo </w:t>
      </w:r>
      <w:r>
        <w:rPr>
          <w:rFonts w:ascii="Calibri" w:cs="Calibri" w:eastAsia="Calibri" w:hAnsi="Calibri"/>
          <w:i/>
          <w:iCs/>
          <w:sz w:val="22"/>
          <w:szCs w:val="22"/>
        </w:rPr>
        <w:t xml:space="preserve">astropy.io.fits</w:t>
      </w:r>
      <w:r>
        <w:rPr>
          <w:rFonts w:ascii="Calibri" w:cs="Calibri" w:eastAsia="Calibri" w:hAnsi="Calibri"/>
          <w:sz w:val="22"/>
          <w:szCs w:val="22"/>
        </w:rPr>
        <w:t xml:space="preserve">, constituye el estándar de facto para la lectura y escritura de archivos FITS (Flexible Image Transport System) en el ámbito de la astrofísica. Cada fichero FITS generado por e-Callisto contiene una cabecera ASCII, un espectro binario (la matriz de intensidades) y dos tablas BIN auxiliares para los ejes temporal y frecuencial. Astropy permite el acceso directo a estas estructuras mediante objetos HDU (Header Data Unit), operando con arrays de NumPy de forma nativa, lo cual garantiza un rendimiento óptimo en memoria y velocidad de cálculo. Adicionalmente, la biblioteca pyCallisto (Pawase y Raja, 2020), construida sobre Astropy, ofrece funcionalidades específicas para el procesamiento de datos e-Callisto, incluyendo la sustracción de fondo, la concatenación de espectrogramas consecutivos (recordemos que cada fichero abarca 15 minutos de observación) y la generación de curvas de luz y espectros medios.</w:t>
      </w:r>
    </w:p>
    <w:p>
      <w:pPr>
        <w:spacing w:after="120" w:before="0" w:line="276"/>
        <w:ind w:firstLine="360"/>
        <w:jc w:val="both"/>
      </w:pPr>
      <w:r>
        <w:rPr>
          <w:rFonts w:ascii="Calibri" w:cs="Calibri" w:eastAsia="Calibri" w:hAnsi="Calibri"/>
          <w:b/>
          <w:bCs/>
          <w:sz w:val="22"/>
          <w:szCs w:val="22"/>
        </w:rPr>
        <w:t xml:space="preserve">Procesamiento de señales. </w:t>
      </w:r>
      <w:r>
        <w:rPr>
          <w:rFonts w:ascii="Calibri" w:cs="Calibri" w:eastAsia="Calibri" w:hAnsi="Calibri"/>
          <w:sz w:val="22"/>
          <w:szCs w:val="22"/>
        </w:rPr>
        <w:t xml:space="preserve">Las bibliotecas NumPy y SciPy proporcionarán las primitivas de álgebra lineal, transformadas de Fourier (FFT), filtrado de señales y análisis estadístico necesarios para el preprocesamiento de los espectrogramas: normalización, eliminación de interferencias de radiofrecuencia (RFI) y extracción de características para la clasificación automática.</w:t>
      </w:r>
    </w:p>
    <w:p>
      <w:pPr>
        <w:spacing w:after="120" w:before="0" w:line="276"/>
        <w:ind w:firstLine="360"/>
        <w:jc w:val="both"/>
      </w:pPr>
      <w:r>
        <w:rPr>
          <w:rFonts w:ascii="Calibri" w:cs="Calibri" w:eastAsia="Calibri" w:hAnsi="Calibri"/>
          <w:b/>
          <w:bCs/>
          <w:sz w:val="22"/>
          <w:szCs w:val="22"/>
        </w:rPr>
        <w:t xml:space="preserve">Clasificación automática mediante inteligencia artificial. </w:t>
      </w:r>
      <w:r>
        <w:rPr>
          <w:rFonts w:ascii="Calibri" w:cs="Calibri" w:eastAsia="Calibri" w:hAnsi="Calibri"/>
          <w:sz w:val="22"/>
          <w:szCs w:val="22"/>
        </w:rPr>
        <w:t xml:space="preserve">Para la detección y clasificación automática de solar radio bursts (SRBs) de tipos II, III, IV y V, se emplearán modelos de aprendizaje profundo basados en redes neuronales convolucionales (CNN) implementados con Scikit-learn para el preprocesamiento y TensorFlow/Keras para el entrenamiento e inferencia. Estos modelos han demostrado resultados destacados en la clasificación automática de espectrogramas solares en la literatura reciente. El modelo entrenado se exportará en formato TensorFlow Lite o ONNX para minimizar el consumo de recursos durante la inferencia en el servidor NAS.</w:t>
      </w:r>
    </w:p>
    <w:p>
      <w:pPr>
        <w:spacing w:after="120" w:before="0" w:line="276"/>
        <w:ind w:firstLine="360"/>
        <w:jc w:val="both"/>
      </w:pPr>
      <w:r>
        <w:rPr>
          <w:rFonts w:ascii="Calibri" w:cs="Calibri" w:eastAsia="Calibri" w:hAnsi="Calibri"/>
          <w:b/>
          <w:bCs/>
          <w:sz w:val="22"/>
          <w:szCs w:val="22"/>
        </w:rPr>
        <w:t xml:space="preserve">API REST asíncrona con FastAPI. </w:t>
      </w:r>
      <w:r>
        <w:rPr>
          <w:rFonts w:ascii="Calibri" w:cs="Calibri" w:eastAsia="Calibri" w:hAnsi="Calibri"/>
          <w:sz w:val="22"/>
          <w:szCs w:val="22"/>
        </w:rPr>
        <w:t xml:space="preserve">FastAPI ha sido seleccionado frente a alternativas como Django REST Framework o Flask por tres razones fundamentales: (1) su arquitectura asíncrona nativa basada en ASGI (Asynchronous Server Gateway Interface) y el bucle de eventos de </w:t>
      </w:r>
      <w:r>
        <w:rPr>
          <w:rFonts w:ascii="Calibri" w:cs="Calibri" w:eastAsia="Calibri" w:hAnsi="Calibri"/>
          <w:i/>
          <w:iCs/>
          <w:sz w:val="22"/>
          <w:szCs w:val="22"/>
        </w:rPr>
        <w:t xml:space="preserve">uvicorn</w:t>
      </w:r>
      <w:r>
        <w:rPr>
          <w:rFonts w:ascii="Calibri" w:cs="Calibri" w:eastAsia="Calibri" w:hAnsi="Calibri"/>
          <w:sz w:val="22"/>
          <w:szCs w:val="22"/>
        </w:rPr>
        <w:t xml:space="preserve">, que permite gestionar múltiples peticiones concurrentes de forma eficiente —aspecto crítico cuando varios usuarios solicitan simultáneamente el procesamiento de archivos FITS—; (2) la validación automática de datos mediante Pydantic, que garantiza la integridad de los parámetros de entrada en cada endpoint; y (3) la generación automática de documentación interactiva OpenAPI (Swagger UI), lo cual facilita enormemente la integración con el front-end y la adopción por parte de futuros desarrolladores del proyecto.</w:t>
      </w:r>
    </w:p>
    <w:p>
      <w:pPr>
        <w:spacing w:after="60"/>
      </w:pPr>
    </w:p>
    <w:p>
      <w:pPr>
        <w:pStyle w:val="Heading2"/>
        <w:spacing w:after="120" w:before="240"/>
      </w:pPr>
      <w:r>
        <w:rPr>
          <w:rFonts w:ascii="Calibri" w:cs="Calibri" w:eastAsia="Calibri" w:hAnsi="Calibri"/>
          <w:b/>
          <w:bCs/>
          <w:sz w:val="26"/>
          <w:szCs w:val="26"/>
        </w:rPr>
        <w:t xml:space="preserve">5.2. Front-end y visualización interactiva: React + Plotly.js (WebGL)</w:t>
      </w:r>
    </w:p>
    <w:p>
      <w:pPr>
        <w:spacing w:after="120" w:before="0" w:line="276"/>
        <w:ind w:firstLine="360"/>
        <w:jc w:val="both"/>
      </w:pPr>
      <w:r>
        <w:rPr>
          <w:rFonts w:ascii="Calibri" w:cs="Calibri" w:eastAsia="Calibri" w:hAnsi="Calibri"/>
          <w:b w:val="false"/>
          <w:bCs w:val="false"/>
          <w:i w:val="false"/>
          <w:iCs w:val="false"/>
          <w:sz w:val="22"/>
          <w:szCs w:val="22"/>
        </w:rPr>
        <w:t xml:space="preserve">La capa de presentación del portal astrodoncel.uah.es se desarrollará como una Single Page Application (SPA) utilizando React 18, construida con la herramienta de empaquetado Vite, que ofrece tiempos de compilación y recarga en caliente significativamente inferiores a los de alternativas como Webpack.</w:t>
      </w:r>
    </w:p>
    <w:p>
      <w:pPr>
        <w:spacing w:after="120" w:before="0" w:line="276"/>
        <w:ind w:firstLine="360"/>
        <w:jc w:val="both"/>
      </w:pPr>
      <w:r>
        <w:rPr>
          <w:rFonts w:ascii="Calibri" w:cs="Calibri" w:eastAsia="Calibri" w:hAnsi="Calibri"/>
          <w:b/>
          <w:bCs/>
          <w:sz w:val="22"/>
          <w:szCs w:val="22"/>
        </w:rPr>
        <w:t xml:space="preserve">Visualización de espectrogramas: el desafío crítico. </w:t>
      </w:r>
      <w:r>
        <w:rPr>
          <w:rFonts w:ascii="Calibri" w:cs="Calibri" w:eastAsia="Calibri" w:hAnsi="Calibri"/>
          <w:sz w:val="22"/>
          <w:szCs w:val="22"/>
        </w:rPr>
        <w:t xml:space="preserve">La representación gráfica de espectrogramas solares constituye el requisito técnico más exigente del proyecto. Un espectrograma es, esencialmente, un mapa de calor bidimensional donde el eje horizontal representa el tiempo, el eje vertical la frecuencia y el valor de cada celda la intensidad de la señal recibida. Un fichero FITS típico de e-Callisto contiene una matriz de hasta 200 canales de frecuencia por 3600 muestras temporales (15 minutos a 0,25 s de resolución), resultando en matrices de hasta 720.000 puntos de datos por espectrograma individual. La concatenación de múltiples ficheros para visualizar periodos extendidos puede elevar esta cifra a varios millones de puntos.</w:t>
      </w:r>
    </w:p>
    <w:p>
      <w:pPr>
        <w:spacing w:after="120" w:before="0" w:line="276"/>
        <w:ind w:firstLine="360"/>
        <w:jc w:val="both"/>
      </w:pPr>
      <w:r>
        <w:rPr>
          <w:rFonts w:ascii="Calibri" w:cs="Calibri" w:eastAsia="Calibri" w:hAnsi="Calibri"/>
          <w:sz w:val="22"/>
          <w:szCs w:val="22"/>
        </w:rPr>
        <w:t xml:space="preserve">Se ha seleccionado Plotly.js como biblioteca principal de visualización, específicamente su traza </w:t>
      </w:r>
      <w:r>
        <w:rPr>
          <w:rFonts w:ascii="Calibri" w:cs="Calibri" w:eastAsia="Calibri" w:hAnsi="Calibri"/>
          <w:i/>
          <w:iCs/>
          <w:sz w:val="22"/>
          <w:szCs w:val="22"/>
        </w:rPr>
        <w:t xml:space="preserve">heatmapgl</w:t>
      </w:r>
      <w:r>
        <w:rPr>
          <w:rFonts w:ascii="Calibri" w:cs="Calibri" w:eastAsia="Calibri" w:hAnsi="Calibri"/>
          <w:sz w:val="22"/>
          <w:szCs w:val="22"/>
        </w:rPr>
        <w:t xml:space="preserve">, que emplea renderizado WebGL (aceleración por GPU) para representar matrices de gran tamaño directamente en el navegador. Frente a D3.js, que requiere manipulación manual del DOM SVG y presenta limitaciones severas de rendimiento con datasets superiores a 10.000 elementos, y frente a Chart.js, que no ofrece soporte nativo para mapas de calor, Plotly.js proporciona: (1) zoom y pan fluidos sobre espectrogramas de cientos de miles de puntos sin degradación del framerate; (2) tooltips informativos que muestran la frecuencia, el instante temporal y la intensidad de cada punto al pasar el cursor; (3) escalas de color científicas configurables (Viridis, Plasma, Inferno); y (4) exportación directa a formato PNG y SVG para publicaciones. La integración con React se realizará mediante el componente oficial </w:t>
      </w:r>
      <w:r>
        <w:rPr>
          <w:rFonts w:ascii="Calibri" w:cs="Calibri" w:eastAsia="Calibri" w:hAnsi="Calibri"/>
          <w:i/>
          <w:iCs/>
          <w:sz w:val="22"/>
          <w:szCs w:val="22"/>
        </w:rPr>
        <w:t xml:space="preserve">react-plotly.js</w:t>
      </w:r>
      <w:r>
        <w:rPr>
          <w:rFonts w:ascii="Calibri" w:cs="Calibri" w:eastAsia="Calibri" w:hAnsi="Calibri"/>
          <w:sz w:val="22"/>
          <w:szCs w:val="22"/>
        </w:rPr>
        <w:t xml:space="preserve">.</w:t>
      </w:r>
    </w:p>
    <w:p>
      <w:pPr>
        <w:spacing w:after="120" w:before="0" w:line="276"/>
        <w:ind w:firstLine="360"/>
        <w:jc w:val="both"/>
      </w:pPr>
      <w:r>
        <w:rPr>
          <w:rFonts w:ascii="Calibri" w:cs="Calibri" w:eastAsia="Calibri" w:hAnsi="Calibri"/>
          <w:sz w:val="22"/>
          <w:szCs w:val="22"/>
        </w:rPr>
        <w:t xml:space="preserve">Complementariamente, para la interfaz de usuario general se empleará Tailwind CSS como framework de diseño, priorizando la responsividad y la eficiencia en el tamaño del bundle final. Para la gestión del estado global de la aplicación (sesión de usuario, parámetros de búsqueda, caché de datos) se utilizará Zustand, una solución minimalista y de alto rendimiento frente a alternativas más complejas como Redux.</w:t>
      </w:r>
    </w:p>
    <w:p>
      <w:pPr>
        <w:spacing w:after="60"/>
      </w:pPr>
    </w:p>
    <w:p>
      <w:pPr>
        <w:pStyle w:val="Heading2"/>
        <w:spacing w:after="120" w:before="240"/>
      </w:pPr>
      <w:r>
        <w:rPr>
          <w:rFonts w:ascii="Calibri" w:cs="Calibri" w:eastAsia="Calibri" w:hAnsi="Calibri"/>
          <w:b/>
          <w:bCs/>
          <w:sz w:val="26"/>
          <w:szCs w:val="26"/>
        </w:rPr>
        <w:t xml:space="preserve">5.3. Base de datos: PostgreSQL</w:t>
      </w:r>
    </w:p>
    <w:p>
      <w:pPr>
        <w:spacing w:after="120" w:before="0" w:line="276"/>
        <w:ind w:firstLine="360"/>
        <w:jc w:val="both"/>
      </w:pPr>
      <w:r>
        <w:rPr>
          <w:rFonts w:ascii="Calibri" w:cs="Calibri" w:eastAsia="Calibri" w:hAnsi="Calibri"/>
          <w:b w:val="false"/>
          <w:bCs w:val="false"/>
          <w:i w:val="false"/>
          <w:iCs w:val="false"/>
          <w:sz w:val="22"/>
          <w:szCs w:val="22"/>
        </w:rPr>
        <w:t xml:space="preserve">Se propone PostgreSQL (versión 17) como sistema gestor de bases de datos relacional del proyecto. PostgreSQL es un software libre, multiplataforma y de probada robustez en entornos de producción, con más de 35 años de desarrollo activo.</w:t>
      </w:r>
    </w:p>
    <w:p>
      <w:pPr>
        <w:spacing w:after="120" w:before="0" w:line="276"/>
        <w:ind w:firstLine="360"/>
        <w:jc w:val="both"/>
      </w:pPr>
      <w:r>
        <w:rPr>
          <w:rFonts w:ascii="Calibri" w:cs="Calibri" w:eastAsia="Calibri" w:hAnsi="Calibri"/>
          <w:b w:val="false"/>
          <w:bCs w:val="false"/>
          <w:i w:val="false"/>
          <w:iCs w:val="false"/>
          <w:sz w:val="22"/>
          <w:szCs w:val="22"/>
        </w:rPr>
        <w:t xml:space="preserve">La elección de PostgreSQL frente a MySQL/MariaDB se justifica por las siguientes ventajas técnicas específicas para este dominio: (1) soporte nativo del tipo de dato JSONB, que permite almacenar las cabeceras FITS completas como documentos JSON indexables sin necesidad de normalizar cada campo en columnas dedicadas, lo cual es especialmente útil dada la heterogeneidad de las cabeceras entre distintas estaciones de la red e-Callisto; (2) capacidades avanzadas de consulta, incluyendo funciones de ventana, expresiones de tabla comunes (CTE) y búsqueda por rangos temporales, esenciales para la localización eficiente de eventos solares en intervalos de tiempo específicos; (3) extensibilidad mediante módulos como PostGIS (en caso de requerir consultas geoespaciales sobre las coordenadas de las estaciones); y (4) excelente compatibilidad con Docker para el despliegue en NAS, con imágenes oficiales ligeras y ampliamente documentadas.</w:t>
      </w:r>
    </w:p>
    <w:p>
      <w:pPr>
        <w:spacing w:after="120" w:before="0" w:line="276"/>
        <w:ind w:firstLine="360"/>
        <w:jc w:val="both"/>
      </w:pPr>
      <w:r>
        <w:rPr>
          <w:rFonts w:ascii="Calibri" w:cs="Calibri" w:eastAsia="Calibri" w:hAnsi="Calibri"/>
          <w:b w:val="false"/>
          <w:bCs w:val="false"/>
          <w:i w:val="false"/>
          <w:iCs w:val="false"/>
          <w:sz w:val="22"/>
          <w:szCs w:val="22"/>
        </w:rPr>
        <w:t xml:space="preserve">La base de datos albergará las siguientes entidades principales: un catálogo de ficheros FITS con sus metadatos (estación, fecha, rango de frecuencias, calibración), un registro de eventos solares detectados con su clasificación automática y nivel de confianza, una tabla de usuarios del portal con roles diferenciados (investigador, administrador, público) y un historial de procesamiento para trazabilidad.</w:t>
      </w:r>
    </w:p>
    <w:p>
      <w:pPr>
        <w:spacing w:after="60"/>
      </w:pPr>
    </w:p>
    <w:p>
      <w:pPr>
        <w:pStyle w:val="Heading2"/>
        <w:spacing w:after="120" w:before="240"/>
      </w:pPr>
      <w:r>
        <w:rPr>
          <w:rFonts w:ascii="Calibri" w:cs="Calibri" w:eastAsia="Calibri" w:hAnsi="Calibri"/>
          <w:b/>
          <w:bCs/>
          <w:sz w:val="26"/>
          <w:szCs w:val="26"/>
        </w:rPr>
        <w:t xml:space="preserve">5.4. Infraestructura y despliegue: Docker Compose + Nginx</w:t>
      </w:r>
    </w:p>
    <w:p>
      <w:pPr>
        <w:spacing w:after="120" w:before="0" w:line="276"/>
        <w:ind w:firstLine="360"/>
        <w:jc w:val="both"/>
      </w:pPr>
      <w:r>
        <w:rPr>
          <w:rFonts w:ascii="Calibri" w:cs="Calibri" w:eastAsia="Calibri" w:hAnsi="Calibri"/>
          <w:b w:val="false"/>
          <w:bCs w:val="false"/>
          <w:i w:val="false"/>
          <w:iCs w:val="false"/>
          <w:sz w:val="22"/>
          <w:szCs w:val="22"/>
        </w:rPr>
        <w:t xml:space="preserve">El despliegue del sistema completo se orquestará mediante Docker Compose, definiendo cada componente (API FastAPI, base de datos PostgreSQL, servidor Nginx, y opcionalmente un servicio de trabajos en segundo plano para la ingesta automatizada de datos) como un contenedor independiente. Esta arquitectura de microservicios contenedorizados garantiza: (1) la reproducibilidad del entorno entre la máquina de desarrollo local del alumno y el NAS de producción ubicado en la Casa del Doncel (Sigüenza); (2) el aislamiento de dependencias, evitando conflictos entre versiones de librerías; y (3) la facilidad de actualización y escalado horizontal de componentes individuales.</w:t>
      </w:r>
    </w:p>
    <w:p>
      <w:pPr>
        <w:spacing w:after="120" w:before="0" w:line="276"/>
        <w:ind w:firstLine="360"/>
        <w:jc w:val="both"/>
      </w:pPr>
      <w:r>
        <w:rPr>
          <w:rFonts w:ascii="Calibri" w:cs="Calibri" w:eastAsia="Calibri" w:hAnsi="Calibri"/>
          <w:b w:val="false"/>
          <w:bCs w:val="false"/>
          <w:i w:val="false"/>
          <w:iCs w:val="false"/>
          <w:sz w:val="22"/>
          <w:szCs w:val="22"/>
        </w:rPr>
        <w:t xml:space="preserve">Nginx actuará como proxy inverso y servidor de archivos estáticos, encargándose de servir el front-end React compilado, redirigir las peticiones /api al contenedor de FastAPI, gestionar la terminación TLS (HTTPS) y aplicar políticas de caché para los espectrogramas pre-renderizados. Su bajo consumo de memoria lo hace especialmente adecuado para entornos NAS con recursos computacionales limitados.</w:t>
      </w:r>
    </w:p>
    <w:p>
      <w:pPr>
        <w:spacing w:after="60"/>
      </w:pPr>
    </w:p>
    <w:p>
      <w:pPr>
        <w:pStyle w:val="Heading2"/>
        <w:spacing w:after="120" w:before="240"/>
      </w:pPr>
      <w:r>
        <w:rPr>
          <w:rFonts w:ascii="Calibri" w:cs="Calibri" w:eastAsia="Calibri" w:hAnsi="Calibri"/>
          <w:b/>
          <w:bCs/>
          <w:sz w:val="26"/>
          <w:szCs w:val="26"/>
        </w:rPr>
        <w:t xml:space="preserve">5.5. Control de versiones y gestión del proyecto</w:t>
      </w:r>
    </w:p>
    <w:p>
      <w:pPr>
        <w:spacing w:after="120" w:before="0" w:line="276"/>
        <w:ind w:firstLine="360"/>
        <w:jc w:val="both"/>
      </w:pPr>
      <w:r>
        <w:rPr>
          <w:rFonts w:ascii="Calibri" w:cs="Calibri" w:eastAsia="Calibri" w:hAnsi="Calibri"/>
          <w:b w:val="false"/>
          <w:bCs w:val="false"/>
          <w:i w:val="false"/>
          <w:iCs w:val="false"/>
          <w:sz w:val="22"/>
          <w:szCs w:val="22"/>
        </w:rPr>
        <w:t xml:space="preserve">Todo el código fuente del proyecto se gestionará mediante Git, alojado en un repositorio GitHub. Se adoptará una estrategia de ramificación simplificada (trunk-based development con ramas de funcionalidad de corta duración) adecuada para un proyecto individual con revisiones periódicas del tutor. Los commits seguirán la convención Conventional Commits para facilitar la generación automatizada del historial de cambios.</w:t>
      </w:r>
    </w:p>
    <w:p>
      <w:pPr>
        <w:spacing w:after="60"/>
      </w:pPr>
    </w:p>
    <w:p>
      <w:pPr>
        <w:pStyle w:val="Heading2"/>
        <w:spacing w:after="120" w:before="240"/>
      </w:pPr>
      <w:r>
        <w:rPr>
          <w:rFonts w:ascii="Calibri" w:cs="Calibri" w:eastAsia="Calibri" w:hAnsi="Calibri"/>
          <w:b/>
          <w:bCs/>
          <w:sz w:val="26"/>
          <w:szCs w:val="26"/>
        </w:rPr>
        <w:t xml:space="preserve">5.6. Apoyo de inteligencia artificial generativa en el desarrollo</w:t>
      </w:r>
    </w:p>
    <w:p>
      <w:pPr>
        <w:spacing w:after="120" w:before="0" w:line="276"/>
        <w:ind w:firstLine="360"/>
        <w:jc w:val="both"/>
      </w:pPr>
      <w:r>
        <w:rPr>
          <w:rFonts w:ascii="Calibri" w:cs="Calibri" w:eastAsia="Calibri" w:hAnsi="Calibri"/>
          <w:b w:val="false"/>
          <w:bCs w:val="false"/>
          <w:i w:val="false"/>
          <w:iCs w:val="false"/>
          <w:sz w:val="22"/>
          <w:szCs w:val="22"/>
        </w:rPr>
        <w:t xml:space="preserve">De forma complementaria a las herramientas tradicionales de desarrollo, se explorará el uso de asistentes de IA generativa como apoyo durante el ciclo de vida del software. En particular, se contempla el uso de GitHub Copilot, integrado directamente en el entorno de desarrollo (VS Code), para la generación asistida de código, autocompletado contextual y sugerencia de patrones de diseño. Asimismo, se emplearán modelos de lenguaje de gran tamaño como Claude (Anthropic) para tareas de análisis de documentación técnica, revisión de código, propuesta de arquitecturas y generación de documentación.</w:t>
      </w:r>
    </w:p>
    <w:p>
      <w:pPr>
        <w:spacing w:after="120" w:before="0" w:line="276"/>
        <w:ind w:firstLine="360"/>
        <w:jc w:val="both"/>
      </w:pPr>
      <w:r>
        <w:rPr>
          <w:rFonts w:ascii="Calibri" w:cs="Calibri" w:eastAsia="Calibri" w:hAnsi="Calibri"/>
          <w:b w:val="false"/>
          <w:bCs w:val="false"/>
          <w:i w:val="false"/>
          <w:iCs w:val="false"/>
          <w:sz w:val="22"/>
          <w:szCs w:val="22"/>
        </w:rPr>
        <w:t xml:space="preserve">El uso de estas herramientas se documentará explícitamente en la memoria del TFG, indicando en qué tareas y en qué medida han contribuido al desarrollo, en consonancia con las políticas de integridad académica de la Universidad de Alcalá.</w:t>
      </w:r>
    </w:p>
    <w:p>
      <w:r>
        <w:br w:type="page"/>
      </w:r>
    </w:p>
    <w:p>
      <w:pPr>
        <w:pStyle w:val="Heading1"/>
        <w:spacing w:after="120" w:before="240"/>
      </w:pPr>
      <w:r>
        <w:rPr>
          <w:rFonts w:ascii="Calibri" w:cs="Calibri" w:eastAsia="Calibri" w:hAnsi="Calibri"/>
          <w:b/>
          <w:bCs/>
          <w:sz w:val="28"/>
          <w:szCs w:val="28"/>
        </w:rPr>
        <w:t xml:space="preserve">3. Metodología y descripción de trabajo</w:t>
      </w:r>
    </w:p>
    <w:p>
      <w:pPr>
        <w:spacing w:after="60"/>
      </w:pPr>
    </w:p>
    <w:p>
      <w:pPr>
        <w:spacing w:after="120" w:before="0" w:line="276"/>
        <w:jc w:val="both"/>
      </w:pPr>
      <w:r>
        <w:rPr>
          <w:rFonts w:ascii="Calibri" w:cs="Calibri" w:eastAsia="Calibri" w:hAnsi="Calibri"/>
          <w:b w:val="false"/>
          <w:bCs w:val="false"/>
          <w:i w:val="false"/>
          <w:iCs w:val="false"/>
          <w:sz w:val="22"/>
          <w:szCs w:val="22"/>
        </w:rPr>
        <w:t xml:space="preserve">Para alcanzar los objetivos anteriormente expuestos, se propone una metodología basada en un ciclo de vida de desarrollo de software iterativo e incremental, inspirado en prácticas ágiles adaptadas a un proyecto individual de ámbito académico. Las tareas se organizan en cinco fases secuenciales con solapamientos controlados, permitiendo la retroalimentación continua entre fases y la incorporación de ajustes derivados de las revisiones con los tutores.</w:t>
      </w:r>
    </w:p>
    <w:p>
      <w:pPr>
        <w:spacing w:after="60"/>
      </w:pPr>
    </w:p>
    <w:p>
      <w:pPr>
        <w:spacing w:after="120" w:before="0" w:line="276"/>
        <w:jc w:val="both"/>
      </w:pPr>
      <w:r>
        <w:rPr>
          <w:rFonts w:ascii="Calibri" w:cs="Calibri" w:eastAsia="Calibri" w:hAnsi="Calibri"/>
          <w:b/>
          <w:bCs/>
          <w:sz w:val="22"/>
          <w:szCs w:val="22"/>
        </w:rPr>
        <w:t xml:space="preserve">Tarea 1. Análisis de requisitos y diseño de la arquitectura (Semanas 1–4). </w:t>
      </w:r>
      <w:r>
        <w:rPr>
          <w:rFonts w:ascii="Calibri" w:cs="Calibri" w:eastAsia="Calibri" w:hAnsi="Calibri"/>
          <w:sz w:val="22"/>
          <w:szCs w:val="22"/>
        </w:rPr>
        <w:t xml:space="preserve">Revisión exhaustiva del estado actual del portal astrodoncel.uah.es y de su código fuente desplegado en el NAS. Lectura de la documentación aplicable sobre la red e-Callisto, el formato FITS y las técnicas de clasificación automática de SRBs existentes. Revisión del estado del arte en herramientas de desarrollo web, procesamiento científico y visualización de datos astronómicos. Recopilación de requisitos funcionales y no funcionales mediante entrevistas con los tutores y usuarios científicos del portal. Selección y justificación del stack tecnológico definitivo. Diseño de la arquitectura del sistema (diagramas de componentes, modelo entidad-relación de la base de datos, especificación de la API REST). Elaboración del documento de requisitos software (SRS). Duración prevista: 4 semanas.</w:t>
      </w:r>
    </w:p>
    <w:p>
      <w:pPr>
        <w:spacing w:after="120" w:before="0" w:line="276"/>
        <w:jc w:val="both"/>
      </w:pPr>
      <w:r>
        <w:rPr>
          <w:rFonts w:ascii="Calibri" w:cs="Calibri" w:eastAsia="Calibri" w:hAnsi="Calibri"/>
          <w:b/>
          <w:bCs/>
          <w:sz w:val="22"/>
          <w:szCs w:val="22"/>
        </w:rPr>
        <w:t xml:space="preserve">Tarea 2. Desarrollo del back-end, procesamiento de datos y modelo de IA (Semanas 4–11). </w:t>
      </w:r>
      <w:r>
        <w:rPr>
          <w:rFonts w:ascii="Calibri" w:cs="Calibri" w:eastAsia="Calibri" w:hAnsi="Calibri"/>
          <w:sz w:val="22"/>
          <w:szCs w:val="22"/>
        </w:rPr>
        <w:t xml:space="preserve">Montaje del entorno local de desarrollo con Docker Compose (contenedores de FastAPI, PostgreSQL y Nginx). Implementación de los módulos de ingesta y procesamiento de ficheros FITS: lectura con Astropy, sustracción de fondo, eliminación de RFI y concatenación temporal. Diseño e implementación del esquema de base de datos en PostgreSQL y de la capa de acceso a datos (ORM SQLAlchemy). Desarrollo de los endpoints de la API REST (FastAPI) para la búsqueda de datos por estación, fecha y tipo de evento, la obtención de espectrogramas procesados y la gestión de usuarios. Entrenamiento y validación del modelo de clasificación automática de SRBs mediante CNN (TensorFlow/Keras). Integración del modelo entrenado como servicio de inferencia en la API. Pruebas unitarias y de integración del back-end. Se espera que esta sea la tarea con mayor carga de trabajo. Duración prevista: 8 semanas.</w:t>
      </w:r>
    </w:p>
    <w:p>
      <w:pPr>
        <w:spacing w:after="120" w:before="0" w:line="276"/>
        <w:jc w:val="both"/>
      </w:pPr>
      <w:r>
        <w:rPr>
          <w:rFonts w:ascii="Calibri" w:cs="Calibri" w:eastAsia="Calibri" w:hAnsi="Calibri"/>
          <w:b/>
          <w:bCs/>
          <w:sz w:val="22"/>
          <w:szCs w:val="22"/>
        </w:rPr>
        <w:t xml:space="preserve">Tarea 3. Desarrollo del front-end e integración (Semanas 9–15). </w:t>
      </w:r>
      <w:r>
        <w:rPr>
          <w:rFonts w:ascii="Calibri" w:cs="Calibri" w:eastAsia="Calibri" w:hAnsi="Calibri"/>
          <w:sz w:val="22"/>
          <w:szCs w:val="22"/>
        </w:rPr>
        <w:t xml:space="preserve">Implementación de la interfaz web como SPA con React y Vite. Desarrollo del componente principal de visualización de espectrogramas con Plotly.js (heatmapgl, WebGL). Implementación de las vistas de búsqueda, listado de eventos, detalle de evento y panel de administración. Integración con la API REST del back-end. Diseño responsivo con Tailwind CSS. Implementación del sistema de autenticación de usuarios (JWT). Pruebas funcionales del front-end. Duración prevista: 7 semanas.</w:t>
      </w:r>
    </w:p>
    <w:p>
      <w:pPr>
        <w:spacing w:after="120" w:before="0" w:line="276"/>
        <w:jc w:val="both"/>
      </w:pPr>
      <w:r>
        <w:rPr>
          <w:rFonts w:ascii="Calibri" w:cs="Calibri" w:eastAsia="Calibri" w:hAnsi="Calibri"/>
          <w:b/>
          <w:bCs/>
          <w:sz w:val="22"/>
          <w:szCs w:val="22"/>
        </w:rPr>
        <w:t xml:space="preserve">Tarea 4. Despliegue en NAS, pruebas de sistema y validación (Semanas 14–18). </w:t>
      </w:r>
      <w:r>
        <w:rPr>
          <w:rFonts w:ascii="Calibri" w:cs="Calibri" w:eastAsia="Calibri" w:hAnsi="Calibri"/>
          <w:sz w:val="22"/>
          <w:szCs w:val="22"/>
        </w:rPr>
        <w:t xml:space="preserve">Migración del entorno completo al NAS de producción ubicado en Sigüenza. Configuración de Docker Compose en el NAS, incluyendo volúmenes persistentes, políticas de reinicio automático y configuración de red. Ajuste de parámetros de rendimiento según los recursos disponibles en el servidor. Realización de pruebas de esfuerzo (carga concurrente, tamaño máximo de espectrograma renderizable). Verificación de requisitos funcionales y no funcionales. Apertura del portal a usuarios finales para pruebas de aceptación. Recepción de comentarios de los investigadores y actualización del diseño según retroalimentación. Duración prevista: 5 semanas.</w:t>
      </w:r>
    </w:p>
    <w:p>
      <w:pPr>
        <w:spacing w:after="120" w:before="0" w:line="276"/>
        <w:jc w:val="both"/>
      </w:pPr>
      <w:r>
        <w:rPr>
          <w:rFonts w:ascii="Calibri" w:cs="Calibri" w:eastAsia="Calibri" w:hAnsi="Calibri"/>
          <w:b/>
          <w:bCs/>
          <w:sz w:val="22"/>
          <w:szCs w:val="22"/>
        </w:rPr>
        <w:t xml:space="preserve">Tarea 5. Elaboración de la memoria del Trabajo Fin de Grado (Semanas 16–20). </w:t>
      </w:r>
      <w:r>
        <w:rPr>
          <w:rFonts w:ascii="Calibri" w:cs="Calibri" w:eastAsia="Calibri" w:hAnsi="Calibri"/>
          <w:sz w:val="22"/>
          <w:szCs w:val="22"/>
        </w:rPr>
        <w:t xml:space="preserve">Redacción de la memoria final del TFG, incluyendo: introducción y estado del arte, análisis de requisitos, diseño arquitectónico, detalles de implementación, pruebas y resultados, conclusiones y líneas futuras de trabajo. Elaboración de los anexos técnicos (manual de instalación, manual de usuario, diccionario de datos). Revisión con los tutores y correcciones finales. Preparación de la presentación de defensa del TFG. Duración prevista: 5 semanas.</w:t>
      </w:r>
    </w:p>
    <w:p>
      <w:r>
        <w:br w:type="page"/>
      </w:r>
    </w:p>
    <w:p>
      <w:pPr>
        <w:pStyle w:val="Heading1"/>
        <w:spacing w:after="120" w:before="240"/>
      </w:pPr>
      <w:r>
        <w:rPr>
          <w:rFonts w:ascii="Calibri" w:cs="Calibri" w:eastAsia="Calibri" w:hAnsi="Calibri"/>
          <w:b/>
          <w:bCs/>
          <w:sz w:val="28"/>
          <w:szCs w:val="28"/>
        </w:rPr>
        <w:t xml:space="preserve">4. Plan de trabajo</w:t>
      </w:r>
    </w:p>
    <w:p>
      <w:pPr>
        <w:spacing w:after="60"/>
      </w:pPr>
    </w:p>
    <w:p>
      <w:pPr>
        <w:spacing w:after="120" w:before="0" w:line="276"/>
        <w:jc w:val="both"/>
      </w:pPr>
      <w:r>
        <w:rPr>
          <w:rFonts w:ascii="Calibri" w:cs="Calibri" w:eastAsia="Calibri" w:hAnsi="Calibri"/>
          <w:b w:val="false"/>
          <w:bCs w:val="false"/>
          <w:i w:val="false"/>
          <w:iCs w:val="false"/>
          <w:sz w:val="22"/>
          <w:szCs w:val="22"/>
        </w:rPr>
        <w:t xml:space="preserve">Se prevé realizar las tareas en un periodo máximo de 20 semanas. El siguiente cronograma detalla la distribución temporal de las cinco tareas, donde las celdas sombreadas indican actividad en la semana correspondiente. Nótese el solapamiento controlado entre tareas adyacentes, que refleja la naturaleza iterativa de la metodología propuesta.</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1"/>
        <w:gridCol w:w="381"/>
        <w:gridCol w:w="381"/>
        <w:gridCol w:w="381"/>
        <w:gridCol w:w="381"/>
        <w:gridCol w:w="381"/>
        <w:gridCol w:w="381"/>
        <w:gridCol w:w="381"/>
        <w:gridCol w:w="381"/>
        <w:gridCol w:w="381"/>
        <w:gridCol w:w="381"/>
        <w:gridCol w:w="381"/>
        <w:gridCol w:w="381"/>
        <w:gridCol w:w="381"/>
        <w:gridCol w:w="381"/>
        <w:gridCol w:w="381"/>
        <w:gridCol w:w="381"/>
        <w:gridCol w:w="381"/>
        <w:gridCol w:w="381"/>
        <w:gridCol w:w="387"/>
      </w:tblGrid>
      <w:tr>
        <w:tc>
          <w:tcPr>
            <w:tcW w:type="dxa" w:w="1400"/>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r>
              <w:rPr>
                <w:rFonts w:ascii="Calibri" w:cs="Calibri" w:eastAsia="Calibri" w:hAnsi="Calibri"/>
                <w:b/>
                <w:bCs/>
                <w:color w:val="FFFFFF"/>
                <w:sz w:val="16"/>
                <w:szCs w:val="16"/>
              </w:rPr>
              <w:t xml:space="preserve">S/T</w:t>
            </w: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r>
              <w:rPr>
                <w:rFonts w:ascii="Calibri" w:cs="Calibri" w:eastAsia="Calibri" w:hAnsi="Calibri"/>
                <w:b/>
                <w:bCs/>
                <w:color w:val="FFFFFF"/>
                <w:sz w:val="16"/>
                <w:szCs w:val="16"/>
              </w:rPr>
              <w:t xml:space="preserve">1</w:t>
            </w: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r>
              <w:rPr>
                <w:rFonts w:ascii="Calibri" w:cs="Calibri" w:eastAsia="Calibri" w:hAnsi="Calibri"/>
                <w:b/>
                <w:bCs/>
                <w:color w:val="FFFFFF"/>
                <w:sz w:val="16"/>
                <w:szCs w:val="16"/>
              </w:rPr>
              <w:t xml:space="preserve">2</w:t>
            </w: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r>
              <w:rPr>
                <w:rFonts w:ascii="Calibri" w:cs="Calibri" w:eastAsia="Calibri" w:hAnsi="Calibri"/>
                <w:b/>
                <w:bCs/>
                <w:color w:val="FFFFFF"/>
                <w:sz w:val="16"/>
                <w:szCs w:val="16"/>
              </w:rPr>
              <w:t xml:space="preserve">3</w:t>
            </w: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r>
              <w:rPr>
                <w:rFonts w:ascii="Calibri" w:cs="Calibri" w:eastAsia="Calibri" w:hAnsi="Calibri"/>
                <w:b/>
                <w:bCs/>
                <w:color w:val="FFFFFF"/>
                <w:sz w:val="16"/>
                <w:szCs w:val="16"/>
              </w:rPr>
              <w:t xml:space="preserve">4</w:t>
            </w: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r>
              <w:rPr>
                <w:rFonts w:ascii="Calibri" w:cs="Calibri" w:eastAsia="Calibri" w:hAnsi="Calibri"/>
                <w:b/>
                <w:bCs/>
                <w:color w:val="FFFFFF"/>
                <w:sz w:val="16"/>
                <w:szCs w:val="16"/>
              </w:rPr>
              <w:t xml:space="preserve">5</w:t>
            </w: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r>
              <w:rPr>
                <w:rFonts w:ascii="Calibri" w:cs="Calibri" w:eastAsia="Calibri" w:hAnsi="Calibri"/>
                <w:b/>
                <w:bCs/>
                <w:color w:val="FFFFFF"/>
                <w:sz w:val="16"/>
                <w:szCs w:val="16"/>
              </w:rPr>
              <w:t xml:space="preserve">6</w:t>
            </w: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r>
              <w:rPr>
                <w:rFonts w:ascii="Calibri" w:cs="Calibri" w:eastAsia="Calibri" w:hAnsi="Calibri"/>
                <w:b/>
                <w:bCs/>
                <w:color w:val="FFFFFF"/>
                <w:sz w:val="16"/>
                <w:szCs w:val="16"/>
              </w:rPr>
              <w:t xml:space="preserve">7</w:t>
            </w: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r>
              <w:rPr>
                <w:rFonts w:ascii="Calibri" w:cs="Calibri" w:eastAsia="Calibri" w:hAnsi="Calibri"/>
                <w:b/>
                <w:bCs/>
                <w:color w:val="FFFFFF"/>
                <w:sz w:val="16"/>
                <w:szCs w:val="16"/>
              </w:rPr>
              <w:t xml:space="preserve">8</w:t>
            </w: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r>
              <w:rPr>
                <w:rFonts w:ascii="Calibri" w:cs="Calibri" w:eastAsia="Calibri" w:hAnsi="Calibri"/>
                <w:b/>
                <w:bCs/>
                <w:color w:val="FFFFFF"/>
                <w:sz w:val="16"/>
                <w:szCs w:val="16"/>
              </w:rPr>
              <w:t xml:space="preserve">9</w:t>
            </w: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r>
              <w:rPr>
                <w:rFonts w:ascii="Calibri" w:cs="Calibri" w:eastAsia="Calibri" w:hAnsi="Calibri"/>
                <w:b/>
                <w:bCs/>
                <w:color w:val="FFFFFF"/>
                <w:sz w:val="16"/>
                <w:szCs w:val="16"/>
              </w:rPr>
              <w:t xml:space="preserve">10</w:t>
            </w: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r>
              <w:rPr>
                <w:rFonts w:ascii="Calibri" w:cs="Calibri" w:eastAsia="Calibri" w:hAnsi="Calibri"/>
                <w:b/>
                <w:bCs/>
                <w:color w:val="FFFFFF"/>
                <w:sz w:val="16"/>
                <w:szCs w:val="16"/>
              </w:rPr>
              <w:t xml:space="preserve">11</w:t>
            </w: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r>
              <w:rPr>
                <w:rFonts w:ascii="Calibri" w:cs="Calibri" w:eastAsia="Calibri" w:hAnsi="Calibri"/>
                <w:b/>
                <w:bCs/>
                <w:color w:val="FFFFFF"/>
                <w:sz w:val="16"/>
                <w:szCs w:val="16"/>
              </w:rPr>
              <w:t xml:space="preserve">12</w:t>
            </w: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r>
              <w:rPr>
                <w:rFonts w:ascii="Calibri" w:cs="Calibri" w:eastAsia="Calibri" w:hAnsi="Calibri"/>
                <w:b/>
                <w:bCs/>
                <w:color w:val="FFFFFF"/>
                <w:sz w:val="16"/>
                <w:szCs w:val="16"/>
              </w:rPr>
              <w:t xml:space="preserve">13</w:t>
            </w: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r>
              <w:rPr>
                <w:rFonts w:ascii="Calibri" w:cs="Calibri" w:eastAsia="Calibri" w:hAnsi="Calibri"/>
                <w:b/>
                <w:bCs/>
                <w:color w:val="FFFFFF"/>
                <w:sz w:val="16"/>
                <w:szCs w:val="16"/>
              </w:rPr>
              <w:t xml:space="preserve">14</w:t>
            </w: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r>
              <w:rPr>
                <w:rFonts w:ascii="Calibri" w:cs="Calibri" w:eastAsia="Calibri" w:hAnsi="Calibri"/>
                <w:b/>
                <w:bCs/>
                <w:color w:val="FFFFFF"/>
                <w:sz w:val="16"/>
                <w:szCs w:val="16"/>
              </w:rPr>
              <w:t xml:space="preserve">15</w:t>
            </w: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r>
              <w:rPr>
                <w:rFonts w:ascii="Calibri" w:cs="Calibri" w:eastAsia="Calibri" w:hAnsi="Calibri"/>
                <w:b/>
                <w:bCs/>
                <w:color w:val="FFFFFF"/>
                <w:sz w:val="16"/>
                <w:szCs w:val="16"/>
              </w:rPr>
              <w:t xml:space="preserve">16</w:t>
            </w: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r>
              <w:rPr>
                <w:rFonts w:ascii="Calibri" w:cs="Calibri" w:eastAsia="Calibri" w:hAnsi="Calibri"/>
                <w:b/>
                <w:bCs/>
                <w:color w:val="FFFFFF"/>
                <w:sz w:val="16"/>
                <w:szCs w:val="16"/>
              </w:rPr>
              <w:t xml:space="preserve">17</w:t>
            </w: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r>
              <w:rPr>
                <w:rFonts w:ascii="Calibri" w:cs="Calibri" w:eastAsia="Calibri" w:hAnsi="Calibri"/>
                <w:b/>
                <w:bCs/>
                <w:color w:val="FFFFFF"/>
                <w:sz w:val="16"/>
                <w:szCs w:val="16"/>
              </w:rPr>
              <w:t xml:space="preserve">18</w:t>
            </w: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r>
              <w:rPr>
                <w:rFonts w:ascii="Calibri" w:cs="Calibri" w:eastAsia="Calibri" w:hAnsi="Calibri"/>
                <w:b/>
                <w:bCs/>
                <w:color w:val="FFFFFF"/>
                <w:sz w:val="16"/>
                <w:szCs w:val="16"/>
              </w:rPr>
              <w:t xml:space="preserve">19</w:t>
            </w:r>
          </w:p>
        </w:tc>
        <w:tc>
          <w:tcPr>
            <w:tcW w:type="dxa" w:w="387"/>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r>
              <w:rPr>
                <w:rFonts w:ascii="Calibri" w:cs="Calibri" w:eastAsia="Calibri" w:hAnsi="Calibri"/>
                <w:b/>
                <w:bCs/>
                <w:color w:val="FFFFFF"/>
                <w:sz w:val="16"/>
                <w:szCs w:val="16"/>
              </w:rPr>
              <w:t xml:space="preserve">20</w:t>
            </w:r>
          </w:p>
        </w:tc>
      </w:tr>
      <w:tr>
        <w:tc>
          <w:tcPr>
            <w:tcW w:type="dxa" w:w="1400"/>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r>
              <w:rPr>
                <w:rFonts w:ascii="Calibri" w:cs="Calibri" w:eastAsia="Calibri" w:hAnsi="Calibri"/>
                <w:b/>
                <w:bCs/>
                <w:color w:val="333333"/>
                <w:sz w:val="16"/>
                <w:szCs w:val="16"/>
              </w:rPr>
              <w:t xml:space="preserve">T1</w:t>
            </w: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7"/>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r>
      <w:tr>
        <w:tc>
          <w:tcPr>
            <w:tcW w:type="dxa" w:w="1400"/>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r>
              <w:rPr>
                <w:rFonts w:ascii="Calibri" w:cs="Calibri" w:eastAsia="Calibri" w:hAnsi="Calibri"/>
                <w:b/>
                <w:bCs/>
                <w:color w:val="333333"/>
                <w:sz w:val="16"/>
                <w:szCs w:val="16"/>
              </w:rPr>
              <w:t xml:space="preserve">T2</w:t>
            </w: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7"/>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r>
      <w:tr>
        <w:tc>
          <w:tcPr>
            <w:tcW w:type="dxa" w:w="1400"/>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r>
              <w:rPr>
                <w:rFonts w:ascii="Calibri" w:cs="Calibri" w:eastAsia="Calibri" w:hAnsi="Calibri"/>
                <w:b/>
                <w:bCs/>
                <w:color w:val="333333"/>
                <w:sz w:val="16"/>
                <w:szCs w:val="16"/>
              </w:rPr>
              <w:t xml:space="preserve">T3</w:t>
            </w: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7"/>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r>
      <w:tr>
        <w:tc>
          <w:tcPr>
            <w:tcW w:type="dxa" w:w="1400"/>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r>
              <w:rPr>
                <w:rFonts w:ascii="Calibri" w:cs="Calibri" w:eastAsia="Calibri" w:hAnsi="Calibri"/>
                <w:b/>
                <w:bCs/>
                <w:color w:val="333333"/>
                <w:sz w:val="16"/>
                <w:szCs w:val="16"/>
              </w:rPr>
              <w:t xml:space="preserve">T4</w:t>
            </w: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7"/>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r>
      <w:tr>
        <w:tc>
          <w:tcPr>
            <w:tcW w:type="dxa" w:w="1400"/>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r>
              <w:rPr>
                <w:rFonts w:ascii="Calibri" w:cs="Calibri" w:eastAsia="Calibri" w:hAnsi="Calibri"/>
                <w:b/>
                <w:bCs/>
                <w:color w:val="333333"/>
                <w:sz w:val="16"/>
                <w:szCs w:val="16"/>
              </w:rPr>
              <w:t xml:space="preserve">T5</w:t>
            </w: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1"/>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c>
          <w:tcPr>
            <w:tcW w:type="dxa" w:w="387"/>
            <w:tcBorders>
              <w:top w:val="single" w:color="999999" w:sz="1"/>
              <w:left w:val="single" w:color="999999" w:sz="1"/>
              <w:bottom w:val="single" w:color="999999" w:sz="1"/>
              <w:right w:val="single" w:color="999999" w:sz="1"/>
            </w:tcBorders>
            <w:shd w:fill="2E75B6" w:val="clear"/>
            <w:tcMar>
              <w:top w:type="dxa" w:w="30"/>
              <w:left w:type="dxa" w:w="30"/>
              <w:bottom w:type="dxa" w:w="30"/>
              <w:right w:type="dxa" w:w="30"/>
            </w:tcMar>
            <w:vAlign w:val="center"/>
          </w:tcPr>
          <w:p>
            <w:pPr>
              <w:jc w:val="center"/>
            </w:pPr>
          </w:p>
        </w:tc>
      </w:tr>
    </w:tbl>
    <w:p>
      <w:pPr>
        <w:spacing w:after="60"/>
      </w:pPr>
    </w:p>
    <w:p>
      <w:pPr>
        <w:spacing w:after="120" w:before="0" w:line="276"/>
        <w:jc w:val="center"/>
      </w:pPr>
      <w:r>
        <w:rPr>
          <w:rFonts w:ascii="Calibri" w:cs="Calibri" w:eastAsia="Calibri" w:hAnsi="Calibri"/>
          <w:b/>
          <w:bCs/>
          <w:i/>
          <w:iCs/>
          <w:sz w:val="20"/>
          <w:szCs w:val="20"/>
        </w:rPr>
        <w:t xml:space="preserve">Tabla 1. </w:t>
      </w:r>
      <w:r>
        <w:rPr>
          <w:rFonts w:ascii="Calibri" w:cs="Calibri" w:eastAsia="Calibri" w:hAnsi="Calibri"/>
          <w:i/>
          <w:iCs/>
          <w:sz w:val="20"/>
          <w:szCs w:val="20"/>
        </w:rPr>
        <w:t xml:space="preserve">Cronograma de Gantt del plan de trabajo propuesto (20 semanas).</w:t>
      </w:r>
    </w:p>
    <w:p>
      <w:r>
        <w:br w:type="page"/>
      </w:r>
    </w:p>
    <w:p>
      <w:pPr>
        <w:pStyle w:val="Heading1"/>
        <w:spacing w:after="120" w:before="240"/>
      </w:pPr>
      <w:r>
        <w:rPr>
          <w:rFonts w:ascii="Calibri" w:cs="Calibri" w:eastAsia="Calibri" w:hAnsi="Calibri"/>
          <w:b/>
          <w:bCs/>
          <w:sz w:val="28"/>
          <w:szCs w:val="28"/>
        </w:rPr>
        <w:t xml:space="preserve">6. Bibliografía (referencias técnicas adicionales)</w:t>
      </w:r>
    </w:p>
    <w:p>
      <w:pPr>
        <w:spacing w:after="60"/>
      </w:pPr>
    </w:p>
    <w:p>
      <w:pPr>
        <w:spacing w:after="60" w:before="0" w:line="276"/>
        <w:jc w:val="both"/>
      </w:pPr>
      <w:r>
        <w:rPr>
          <w:rFonts w:ascii="Calibri" w:cs="Calibri" w:eastAsia="Calibri" w:hAnsi="Calibri"/>
          <w:b/>
          <w:bCs/>
          <w:i/>
          <w:iCs/>
          <w:sz w:val="22"/>
          <w:szCs w:val="22"/>
        </w:rPr>
        <w:t xml:space="preserve">Referencias ya existentes en el documento original (astrofísicas):</w:t>
      </w:r>
    </w:p>
    <w:p>
      <w:pPr>
        <w:spacing w:after="120" w:before="0" w:line="276"/>
        <w:jc w:val="both"/>
      </w:pPr>
      <w:r>
        <w:rPr>
          <w:rFonts w:ascii="Calibri" w:cs="Calibri" w:eastAsia="Calibri" w:hAnsi="Calibri"/>
          <w:b w:val="false"/>
          <w:bCs w:val="false"/>
          <w:i/>
          <w:iCs/>
          <w:sz w:val="22"/>
          <w:szCs w:val="22"/>
        </w:rPr>
        <w:t xml:space="preserve">[Se mantienen las referencias originales del anteproyecto: Aschwanden (2004), Kundu et al. (1986), McLean &amp; Labrum (1985), Prieto et al. (2020), Reid &amp; Ratcliffe (2014), Reeve (2013), Wild (1950), y la documentación de e-Callisto.]</w:t>
      </w:r>
    </w:p>
    <w:p>
      <w:pPr>
        <w:spacing w:after="60"/>
      </w:pPr>
    </w:p>
    <w:p>
      <w:pPr>
        <w:spacing w:after="60" w:before="0" w:line="276"/>
        <w:jc w:val="both"/>
      </w:pPr>
      <w:r>
        <w:rPr>
          <w:rFonts w:ascii="Calibri" w:cs="Calibri" w:eastAsia="Calibri" w:hAnsi="Calibri"/>
          <w:b/>
          <w:bCs/>
          <w:i/>
          <w:iCs/>
          <w:sz w:val="22"/>
          <w:szCs w:val="22"/>
        </w:rPr>
        <w:t xml:space="preserve">Referencias técnicas adicionales propuestas:</w:t>
      </w:r>
    </w:p>
    <w:p>
      <w:pPr>
        <w:spacing w:after="80" w:before="0" w:line="276"/>
        <w:jc w:val="both"/>
      </w:pPr>
      <w:r>
        <w:rPr>
          <w:rFonts w:ascii="Calibri" w:cs="Calibri" w:eastAsia="Calibri" w:hAnsi="Calibri"/>
          <w:b w:val="false"/>
          <w:bCs w:val="false"/>
          <w:i w:val="false"/>
          <w:iCs w:val="false"/>
          <w:sz w:val="20"/>
          <w:szCs w:val="20"/>
        </w:rPr>
        <w:t xml:space="preserve">Astropy Collaboration, Robitaille, T.P., et al. (2013). «astropy: A community Python package for astronomy». Astronomy &amp; Astrophysics, 558, A33. DOI: 10.1051/0004-6361/201322068.</w:t>
      </w:r>
    </w:p>
    <w:p>
      <w:pPr>
        <w:spacing w:after="80" w:before="0" w:line="276"/>
        <w:jc w:val="both"/>
      </w:pPr>
      <w:r>
        <w:rPr>
          <w:rFonts w:ascii="Calibri" w:cs="Calibri" w:eastAsia="Calibri" w:hAnsi="Calibri"/>
          <w:b w:val="false"/>
          <w:bCs w:val="false"/>
          <w:i w:val="false"/>
          <w:iCs w:val="false"/>
          <w:sz w:val="20"/>
          <w:szCs w:val="20"/>
        </w:rPr>
        <w:t xml:space="preserve">Astropy Collaboration, Price-Whelan, A.M., et al. (2022). «The Astropy Project: Sustaining and Growing a Community-driven Open-source Project». The Astrophysical Journal, 935(2), 167. DOI: 10.3847/1538-4357/ac7c74.</w:t>
      </w:r>
    </w:p>
    <w:p>
      <w:pPr>
        <w:spacing w:after="80" w:before="0" w:line="276"/>
        <w:jc w:val="both"/>
      </w:pPr>
      <w:r>
        <w:rPr>
          <w:rFonts w:ascii="Calibri" w:cs="Calibri" w:eastAsia="Calibri" w:hAnsi="Calibri"/>
          <w:b w:val="false"/>
          <w:bCs w:val="false"/>
          <w:i w:val="false"/>
          <w:iCs w:val="false"/>
          <w:sz w:val="20"/>
          <w:szCs w:val="20"/>
        </w:rPr>
        <w:t xml:space="preserve">Pawase, R. y Raja, K.S. (2020). «pyCallisto: A Python Library To Process The CALLISTO Spectrometer Data». arXiv:2006.16300.</w:t>
      </w:r>
    </w:p>
    <w:p>
      <w:pPr>
        <w:spacing w:after="80" w:before="0" w:line="276"/>
        <w:jc w:val="both"/>
      </w:pPr>
      <w:r>
        <w:rPr>
          <w:rFonts w:ascii="Calibri" w:cs="Calibri" w:eastAsia="Calibri" w:hAnsi="Calibri"/>
          <w:b w:val="false"/>
          <w:bCs w:val="false"/>
          <w:i w:val="false"/>
          <w:iCs w:val="false"/>
          <w:sz w:val="20"/>
          <w:szCs w:val="20"/>
        </w:rPr>
        <w:t xml:space="preserve">Liyanage, G.L.S.S., et al. (2025). «e-CALLISTO FITS Analyzer: A Software Framework for CALLISTO Solar Radio Data». arXiv:2603.26086.</w:t>
      </w:r>
    </w:p>
    <w:p>
      <w:pPr>
        <w:spacing w:after="80" w:before="0" w:line="276"/>
        <w:jc w:val="both"/>
      </w:pPr>
      <w:r>
        <w:rPr>
          <w:rFonts w:ascii="Calibri" w:cs="Calibri" w:eastAsia="Calibri" w:hAnsi="Calibri"/>
          <w:b w:val="false"/>
          <w:bCs w:val="false"/>
          <w:i w:val="false"/>
          <w:iCs w:val="false"/>
          <w:sz w:val="20"/>
          <w:szCs w:val="20"/>
        </w:rPr>
        <w:t xml:space="preserve">Benz, A.O., Monstein, C. y Meyer, H. (2005). «CALLISTO – a new concept for solar radio spectrometers». Solar Physics, 226(1), pp. 143–151. DOI: 10.1007/s11207-005-5688-9.</w:t>
      </w:r>
    </w:p>
    <w:p>
      <w:pPr>
        <w:spacing w:after="80" w:before="0" w:line="276"/>
        <w:jc w:val="both"/>
      </w:pPr>
      <w:r>
        <w:rPr>
          <w:rFonts w:ascii="Calibri" w:cs="Calibri" w:eastAsia="Calibri" w:hAnsi="Calibri"/>
          <w:b w:val="false"/>
          <w:bCs w:val="false"/>
          <w:i w:val="false"/>
          <w:iCs w:val="false"/>
          <w:sz w:val="20"/>
          <w:szCs w:val="20"/>
        </w:rPr>
        <w:t xml:space="preserve">Benz, A.O., Monstein, C., et al. (2009). «A world-wide net of solar radio spectrometers: e-CALLISTO». Earth, Moon, and Planets, 104(1), pp. 277–285. DOI: 10.1007/s11038-008-9267-6.</w:t>
      </w:r>
    </w:p>
    <w:p>
      <w:pPr>
        <w:spacing w:after="80" w:before="0" w:line="276"/>
        <w:jc w:val="both"/>
      </w:pPr>
      <w:r>
        <w:rPr>
          <w:rFonts w:ascii="Calibri" w:cs="Calibri" w:eastAsia="Calibri" w:hAnsi="Calibri"/>
          <w:b w:val="false"/>
          <w:bCs w:val="false"/>
          <w:i w:val="false"/>
          <w:iCs w:val="false"/>
          <w:sz w:val="20"/>
          <w:szCs w:val="20"/>
        </w:rPr>
        <w:t xml:space="preserve">Ramírez Mejía, S., Tiangolo (2018–actualidad). «FastAPI: Modern, fast web framework for building APIs with Python». Documentación oficial. Disponible en: https://fastapi.tiangolo.com/.</w:t>
      </w:r>
    </w:p>
    <w:p>
      <w:pPr>
        <w:spacing w:after="80" w:before="0" w:line="276"/>
        <w:jc w:val="both"/>
      </w:pPr>
      <w:r>
        <w:rPr>
          <w:rFonts w:ascii="Calibri" w:cs="Calibri" w:eastAsia="Calibri" w:hAnsi="Calibri"/>
          <w:b w:val="false"/>
          <w:bCs w:val="false"/>
          <w:i w:val="false"/>
          <w:iCs w:val="false"/>
          <w:sz w:val="20"/>
          <w:szCs w:val="20"/>
        </w:rPr>
        <w:t xml:space="preserve">Meta Platforms, Inc. (2013–actualidad). «React: A JavaScript library for building user interfaces». Documentación oficial. Disponible en: https://react.dev/.</w:t>
      </w:r>
    </w:p>
    <w:p>
      <w:pPr>
        <w:spacing w:after="80" w:before="0" w:line="276"/>
        <w:jc w:val="both"/>
      </w:pPr>
      <w:r>
        <w:rPr>
          <w:rFonts w:ascii="Calibri" w:cs="Calibri" w:eastAsia="Calibri" w:hAnsi="Calibri"/>
          <w:b w:val="false"/>
          <w:bCs w:val="false"/>
          <w:i w:val="false"/>
          <w:iCs w:val="false"/>
          <w:sz w:val="20"/>
          <w:szCs w:val="20"/>
        </w:rPr>
        <w:t xml:space="preserve">Plotly Technologies Inc. (2015–actualidad). «Plotly.js: Open Source Graphing Library for JavaScript». Documentación oficial. Disponible en: https://plotly.com/javascript/.</w:t>
      </w:r>
    </w:p>
    <w:p>
      <w:pPr>
        <w:spacing w:after="80" w:before="0" w:line="276"/>
        <w:jc w:val="both"/>
      </w:pPr>
      <w:r>
        <w:rPr>
          <w:rFonts w:ascii="Calibri" w:cs="Calibri" w:eastAsia="Calibri" w:hAnsi="Calibri"/>
          <w:b w:val="false"/>
          <w:bCs w:val="false"/>
          <w:i w:val="false"/>
          <w:iCs w:val="false"/>
          <w:sz w:val="20"/>
          <w:szCs w:val="20"/>
        </w:rPr>
        <w:t xml:space="preserve">The PostgreSQL Global Development Group (1996–actualidad). «PostgreSQL: The World's Most Advanced Open Source Relational Database». Documentación oficial. Disponible en: https://www.postgresql.org/docs/.</w:t>
      </w:r>
    </w:p>
    <w:p>
      <w:pPr>
        <w:spacing w:after="80" w:before="0" w:line="276"/>
        <w:jc w:val="both"/>
      </w:pPr>
      <w:r>
        <w:rPr>
          <w:rFonts w:ascii="Calibri" w:cs="Calibri" w:eastAsia="Calibri" w:hAnsi="Calibri"/>
          <w:b w:val="false"/>
          <w:bCs w:val="false"/>
          <w:i w:val="false"/>
          <w:iCs w:val="false"/>
          <w:sz w:val="20"/>
          <w:szCs w:val="20"/>
        </w:rPr>
        <w:t xml:space="preserve">Docker, Inc. (2013–actualidad). «Docker Documentation: Docker Compose». Disponible en: https://docs.docker.com/compose/.</w:t>
      </w:r>
    </w:p>
    <w:p>
      <w:pPr>
        <w:spacing w:after="80" w:before="0" w:line="276"/>
        <w:jc w:val="both"/>
      </w:pPr>
      <w:r>
        <w:rPr>
          <w:rFonts w:ascii="Calibri" w:cs="Calibri" w:eastAsia="Calibri" w:hAnsi="Calibri"/>
          <w:b w:val="false"/>
          <w:bCs w:val="false"/>
          <w:i w:val="false"/>
          <w:iCs w:val="false"/>
          <w:sz w:val="20"/>
          <w:szCs w:val="20"/>
        </w:rPr>
        <w:t xml:space="preserve">Pence, W.D., et al. (2010). «Definition of the Flexible Image Transport System (FITS), version 3.0». Astronomy &amp; Astrophysics, 524, A42. DOI: 10.1051/0004-6361/201015362.</w:t>
      </w:r>
    </w:p>
    <w:p>
      <w:pPr>
        <w:spacing w:after="80" w:before="0" w:line="276"/>
        <w:jc w:val="both"/>
      </w:pPr>
      <w:r>
        <w:rPr>
          <w:rFonts w:ascii="Calibri" w:cs="Calibri" w:eastAsia="Calibri" w:hAnsi="Calibri"/>
          <w:b w:val="false"/>
          <w:bCs w:val="false"/>
          <w:i w:val="false"/>
          <w:iCs w:val="false"/>
          <w:sz w:val="20"/>
          <w:szCs w:val="20"/>
        </w:rPr>
        <w:t xml:space="preserve">Harris, C.R., et al. (2020). «Array programming with NumPy». Nature, 585(7825), pp. 357–362. DOI: 10.1038/s41586-020-2649-2.</w:t>
      </w:r>
    </w:p>
    <w:p>
      <w:pPr>
        <w:spacing w:after="80" w:before="0" w:line="276"/>
        <w:jc w:val="both"/>
      </w:pPr>
      <w:r>
        <w:rPr>
          <w:rFonts w:ascii="Calibri" w:cs="Calibri" w:eastAsia="Calibri" w:hAnsi="Calibri"/>
          <w:b w:val="false"/>
          <w:bCs w:val="false"/>
          <w:i w:val="false"/>
          <w:iCs w:val="false"/>
          <w:sz w:val="20"/>
          <w:szCs w:val="20"/>
        </w:rPr>
        <w:t xml:space="preserve">Virtanen, P., et al. (2020). «SciPy 1.0: fundamental algorithms for scientific computing in Python». Nature Methods, 17(3), pp. 261–272. DOI: 10.1038/s41592-019-0686-2.</w:t>
      </w:r>
    </w:p>
    <w:p>
      <w:pPr>
        <w:spacing w:after="80" w:before="0" w:line="276"/>
        <w:jc w:val="both"/>
      </w:pPr>
      <w:r>
        <w:rPr>
          <w:rFonts w:ascii="Calibri" w:cs="Calibri" w:eastAsia="Calibri" w:hAnsi="Calibri"/>
          <w:b w:val="false"/>
          <w:bCs w:val="false"/>
          <w:i w:val="false"/>
          <w:iCs w:val="false"/>
          <w:sz w:val="20"/>
          <w:szCs w:val="20"/>
        </w:rPr>
        <w:t xml:space="preserve">Abadi, M., et al. (2016). «TensorFlow: A System for Large-Scale Machine Learning». 12th USENIX Symposium on Operating Systems Design and Implementation (OSDI 16), pp. 265–283.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Página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Anteproyecto TFG – Alfonso Muñoz Sevilla – UAH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2026-04-10T19:08:04.113Z</dcterms:created>
  <dcterms:modified xsi:type="dcterms:W3CDTF">2026-04-10T19:08:04.114Z</dcterms:modified>
</cp:coreProperties>
</file>

<file path=docProps/custom.xml><?xml version="1.0" encoding="utf-8"?>
<Properties xmlns="http://schemas.openxmlformats.org/officeDocument/2006/custom-properties" xmlns:vt="http://schemas.openxmlformats.org/officeDocument/2006/docPropsVTypes"/>
</file>