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3C49"/>
          <w:sz w:val="40"/>
          <w:szCs w:val="40"/>
        </w:rPr>
        <w:t xml:space="preserve">HEALTHCONNECT RWANDA</w:t>
      </w:r>
    </w:p>
    <w:p>
      <w:pPr>
        <w:pBdr>
          <w:bottom w:val="single" w:color="0F8B8D" w:sz="8" w:space="6"/>
        </w:pBdr>
        <w:spacing w:after="160"/>
      </w:pPr>
      <w:r>
        <w:rPr>
          <w:rFonts w:ascii="Calibri" w:cs="Calibri" w:eastAsia="Calibri" w:hAnsi="Calibri"/>
          <w:color w:val="3F6A70"/>
          <w:sz w:val="28"/>
          <w:szCs w:val="28"/>
        </w:rPr>
        <w:t xml:space="preserve">Healthcare Operations and Performance Analytics: Business Insights Report</w:t>
      </w:r>
    </w:p>
    <w:p>
      <w:pPr>
        <w:spacing w:after="20"/>
      </w:pPr>
      <w:r>
        <w:rPr>
          <w:rFonts w:ascii="Calibri" w:cs="Calibri" w:eastAsia="Calibri" w:hAnsi="Calibri"/>
          <w:sz w:val="22"/>
          <w:szCs w:val="22"/>
        </w:rPr>
        <w:t xml:space="preserve">AnalystLab Africa Experience Lab, Week 6 (Data Analytics Track)</w:t>
      </w:r>
    </w:p>
    <w:p>
      <w:pPr>
        <w:spacing w:after="200"/>
      </w:pPr>
      <w:r>
        <w:rPr>
          <w:rFonts w:ascii="Calibri" w:cs="Calibri" w:eastAsia="Calibri" w:hAnsi="Calibri"/>
          <w:sz w:val="22"/>
          <w:szCs w:val="22"/>
        </w:rPr>
        <w:t xml:space="preserve">Prepared by Olabisi Amusan | 25 October 2026</w:t>
      </w:r>
    </w:p>
    <w:p>
      <w:pPr>
        <w:pStyle w:val="Heading1"/>
        <w:keepNext/>
        <w:spacing w:after="120" w:before="280"/>
      </w:pPr>
      <w:r>
        <w:rPr>
          <w:rFonts w:ascii="Calibri" w:cs="Calibri" w:eastAsia="Calibri" w:hAnsi="Calibri"/>
          <w:b/>
          <w:bCs/>
          <w:color w:val="0B3C49"/>
          <w:sz w:val="26"/>
          <w:szCs w:val="26"/>
        </w:rPr>
        <w:t xml:space="preserve">1. Summary</w:t>
      </w:r>
    </w:p>
    <w:p>
      <w:pPr>
        <w:spacing w:after="120" w:line="276"/>
      </w:pPr>
      <w:r>
        <w:rPr>
          <w:rFonts w:ascii="Calibri" w:cs="Calibri" w:eastAsia="Calibri" w:hAnsi="Calibri"/>
          <w:sz w:val="22"/>
          <w:szCs w:val="22"/>
        </w:rPr>
        <w:t xml:space="preserve">HealthConnect Rwanda’s data covers 20,000 registered patients, 20 facilities, 5,000 appointments in 2026 and 1,250 staff, including 350 doctors. I loaded the supplied files into a PostgreSQL database, answered the assignment’s business questions with SQL, and built a six-page Power BI dashboard for executives.</w:t>
      </w:r>
    </w:p>
    <w:p>
      <w:pPr>
        <w:spacing w:after="120" w:line="276"/>
      </w:pPr>
      <w:r>
        <w:rPr>
          <w:rFonts w:ascii="Calibri" w:cs="Calibri" w:eastAsia="Calibri" w:hAnsi="Calibri"/>
          <w:sz w:val="22"/>
          <w:szCs w:val="22"/>
        </w:rPr>
        <w:t xml:space="preserve">The network billed RWF 9.31 billion and collected RWF 8.39 billion, a collection rate of 90.12%. RWF 919.9 million remains outstanding. Average patient satisfaction is 2.99 out of 5, and 40.44% of the 21,064 ratings are a 1 or a 2.</w:t>
      </w:r>
    </w:p>
    <w:p>
      <w:pPr>
        <w:spacing w:after="120" w:line="276"/>
      </w:pPr>
      <w:r>
        <w:rPr>
          <w:rFonts w:ascii="Calibri" w:cs="Calibri" w:eastAsia="Calibri" w:hAnsi="Calibri"/>
          <w:sz w:val="22"/>
          <w:szCs w:val="22"/>
        </w:rPr>
        <w:t xml:space="preserve">The main conclusion concerns the data as much as the hospitals. About 92% of the money collected, and most diagnosis and feedback records, cannot be tied to an appointment, so I cannot say reliably which facility, department or province earns what. Where I could measure things, patients, demand, resources and outcomes are spread very evenly across the network, and no facility stands out as failing. The clearest actions are to repair the links between appointments and financial records, to clear unpaid and pending claims, and to work on patient satisfaction, which is middling across the board.</w:t>
      </w:r>
    </w:p>
    <w:p>
      <w:pPr>
        <w:pStyle w:val="Heading1"/>
        <w:keepNext/>
        <w:spacing w:after="120" w:before="280"/>
      </w:pPr>
      <w:r>
        <w:rPr>
          <w:rFonts w:ascii="Calibri" w:cs="Calibri" w:eastAsia="Calibri" w:hAnsi="Calibri"/>
          <w:b/>
          <w:bCs/>
          <w:color w:val="0B3C49"/>
          <w:sz w:val="26"/>
          <w:szCs w:val="26"/>
        </w:rPr>
        <w:t xml:space="preserve">2. Data and Approach</w:t>
      </w:r>
    </w:p>
    <w:p>
      <w:pPr>
        <w:spacing w:after="120" w:line="276"/>
      </w:pPr>
      <w:r>
        <w:rPr>
          <w:rFonts w:ascii="Calibri" w:cs="Calibri" w:eastAsia="Calibri" w:hAnsi="Calibri"/>
          <w:sz w:val="22"/>
          <w:szCs w:val="22"/>
        </w:rPr>
        <w:t xml:space="preserve">I loaded the CSV files into a PostgreSQL schema with primary and foreign keys, combined the six staff files into one table, and wrote 40 SQL queries covering patients, appointments, clinical activity and finance. I then built a Power BI model with a date table and DAX measures. The dashboard has six pages (Executive, Patients, Clinical, Financial, Operations and Patient Experience), plus a drill-through page for individual facilities and a tooltip page.</w:t>
      </w:r>
    </w:p>
    <w:p>
      <w:pPr>
        <w:spacing w:after="120" w:line="276"/>
      </w:pPr>
      <w:r>
        <w:rPr>
          <w:rFonts w:ascii="Calibri" w:cs="Calibri" w:eastAsia="Calibri" w:hAnsi="Calibri"/>
          <w:sz w:val="22"/>
          <w:szCs w:val="22"/>
        </w:rPr>
        <w:t xml:space="preserve">Before analysing anything I validated the data. There are no duplicate patient or appointment IDs, no impossible ages, no invalid billing amounts and no overpaid bills. Every patient’s age matches their date of birth (zero mismatches in 20,000 records).</w:t>
      </w:r>
    </w:p>
    <w:p>
      <w:pPr>
        <w:pStyle w:val="Heading1"/>
        <w:keepNext/>
        <w:spacing w:after="120" w:before="280"/>
      </w:pPr>
      <w:r>
        <w:rPr>
          <w:rFonts w:ascii="Calibri" w:cs="Calibri" w:eastAsia="Calibri" w:hAnsi="Calibri"/>
          <w:b/>
          <w:bCs/>
          <w:color w:val="0B3C49"/>
          <w:sz w:val="26"/>
          <w:szCs w:val="26"/>
        </w:rPr>
        <w:t xml:space="preserve">3. Data Quality and Limitations</w:t>
      </w:r>
    </w:p>
    <w:p>
      <w:pPr>
        <w:spacing w:after="120" w:line="276"/>
      </w:pPr>
      <w:r>
        <w:rPr>
          <w:rFonts w:ascii="Calibri" w:cs="Calibri" w:eastAsia="Calibri" w:hAnsi="Calibri"/>
          <w:sz w:val="22"/>
          <w:szCs w:val="22"/>
        </w:rPr>
        <w:t xml:space="preserve">These issues limit what the data can support, so they should be read alongside every figure in this report.</w:t>
      </w:r>
    </w:p>
    <w:p>
      <w:pPr>
        <w:spacing w:after="120" w:line="276"/>
      </w:pPr>
      <w:r>
        <w:rPr>
          <w:rFonts w:ascii="Calibri" w:cs="Calibri" w:eastAsia="Calibri" w:hAnsi="Calibri"/>
          <w:b/>
          <w:bCs/>
          <w:sz w:val="22"/>
          <w:szCs w:val="22"/>
        </w:rPr>
        <w:t xml:space="preserve">Appointments are incomplete. </w:t>
      </w:r>
      <w:r>
        <w:rPr>
          <w:rFonts w:ascii="Calibri" w:cs="Calibri" w:eastAsia="Calibri" w:hAnsi="Calibri"/>
          <w:sz w:val="22"/>
          <w:szCs w:val="22"/>
        </w:rPr>
        <w:t xml:space="preserve">There are only 5,000 appointments, but billing, diagnoses and payments each hold 60,000 records. Fifty-five thousand billing records, 55,000 diagnosis records and 19,308 feedback records have no matching appointment. Any breakdown by facility, department or month therefore covers appointment-linked records only: RWF 694.6 million of the RWF 8.39 billion collected, or about 8%.</w:t>
      </w:r>
    </w:p>
    <w:p>
      <w:pPr>
        <w:spacing w:after="120" w:line="276"/>
      </w:pPr>
      <w:r>
        <w:rPr>
          <w:rFonts w:ascii="Calibri" w:cs="Calibri" w:eastAsia="Calibri" w:hAnsi="Calibri"/>
          <w:b/>
          <w:bCs/>
          <w:sz w:val="22"/>
          <w:szCs w:val="22"/>
        </w:rPr>
        <w:t xml:space="preserve">Facility fields disagree. </w:t>
      </w:r>
      <w:r>
        <w:rPr>
          <w:rFonts w:ascii="Calibri" w:cs="Calibri" w:eastAsia="Calibri" w:hAnsi="Calibri"/>
          <w:sz w:val="22"/>
          <w:szCs w:val="22"/>
        </w:rPr>
        <w:t xml:space="preserve">For 4,744 of the 5,000 appointments, the facility recorded on the appointment differs from the facility of the department where it took place. I used the department’s facility. The staff file has the same problem: 1,187 of the 1,250 staff have a FacilityID that differs from the facility of their DepartmentID. Because of this, I cannot say with confidence how many doctors each facility has. Counted by FacilityID, every facility has 17 or 18. Counted through departments, which is how the dashboard is built, HF001 to HF015 have 20 and HF016 to HF020 have 10. The total of 350 is the same either way.</w:t>
      </w:r>
    </w:p>
    <w:p>
      <w:pPr>
        <w:spacing w:after="120" w:line="276"/>
      </w:pPr>
      <w:r>
        <w:rPr>
          <w:rFonts w:ascii="Calibri" w:cs="Calibri" w:eastAsia="Calibri" w:hAnsi="Calibri"/>
          <w:b/>
          <w:bCs/>
          <w:sz w:val="22"/>
          <w:szCs w:val="22"/>
        </w:rPr>
        <w:t xml:space="preserve">Revenue figures do not reconcile. </w:t>
      </w:r>
      <w:r>
        <w:rPr>
          <w:rFonts w:ascii="Calibri" w:cs="Calibri" w:eastAsia="Calibri" w:hAnsi="Calibri"/>
          <w:sz w:val="22"/>
          <w:szCs w:val="22"/>
        </w:rPr>
        <w:t xml:space="preserve">The Revenue Summary table totals RWF 1.13 billion, which matches neither billing (RWF 9.31 billion) nor payments (RWF 8.39 billion), so I did not use it for any KPI. Bill status is also unreliable. About 90% of each bill was paid whether it was marked Paid, Partially Paid or Pending, so I measured outstanding amounts as billed minus collected.</w:t>
      </w:r>
    </w:p>
    <w:p>
      <w:pPr>
        <w:spacing w:after="120" w:line="276"/>
      </w:pPr>
      <w:r>
        <w:rPr>
          <w:rFonts w:ascii="Calibri" w:cs="Calibri" w:eastAsia="Calibri" w:hAnsi="Calibri"/>
          <w:b/>
          <w:bCs/>
          <w:sz w:val="22"/>
          <w:szCs w:val="22"/>
        </w:rPr>
        <w:t xml:space="preserve">Other issues. </w:t>
      </w:r>
      <w:r>
        <w:rPr>
          <w:rFonts w:ascii="Calibri" w:cs="Calibri" w:eastAsia="Calibri" w:hAnsi="Calibri"/>
          <w:sz w:val="22"/>
          <w:szCs w:val="22"/>
        </w:rPr>
        <w:t xml:space="preserve">All patient phone numbers were saved in scientific notation in the source file and cannot be recovered. All 2,000 beds are recorded as Available, all patients and staff as Active, and every patient has an insurance ID, so occupancy and insured versus uninsured comparisons are not possible.</w:t>
      </w:r>
    </w:p>
    <w:p>
      <w:pPr>
        <w:spacing w:after="120" w:line="276"/>
      </w:pPr>
      <w:r>
        <w:rPr>
          <w:rFonts w:ascii="Calibri" w:cs="Calibri" w:eastAsia="Calibri" w:hAnsi="Calibri"/>
          <w:b/>
          <w:bCs/>
          <w:sz w:val="22"/>
          <w:szCs w:val="22"/>
        </w:rPr>
        <w:t xml:space="preserve">Missing tables. </w:t>
      </w:r>
      <w:r>
        <w:rPr>
          <w:rFonts w:ascii="Calibri" w:cs="Calibri" w:eastAsia="Calibri" w:hAnsi="Calibri"/>
          <w:sz w:val="22"/>
          <w:szCs w:val="22"/>
        </w:rPr>
        <w:t xml:space="preserve">The dataset did not include Health Facilities master data, Admissions, Laboratory Tests, Prescriptions, Referrals or an Insurance master table. As a result, admission rate, length of stay, readmission, laboratory and prescription volumes, referral rate, equipment availability and revenue by province or service could not be calculated. Only five diagnoses exist, so I report a top five in place of the requested top 20.</w:t>
      </w:r>
    </w:p>
    <w:p>
      <w:pPr>
        <w:pStyle w:val="Heading1"/>
        <w:keepNext/>
        <w:spacing w:after="120" w:before="280"/>
      </w:pPr>
      <w:r>
        <w:rPr>
          <w:rFonts w:ascii="Calibri" w:cs="Calibri" w:eastAsia="Calibri" w:hAnsi="Calibri"/>
          <w:b/>
          <w:bCs/>
          <w:color w:val="0B3C49"/>
          <w:sz w:val="26"/>
          <w:szCs w:val="26"/>
        </w:rPr>
        <w:t xml:space="preserve">4. Findings</w:t>
      </w:r>
    </w:p>
    <w:p>
      <w:pPr>
        <w:spacing w:after="120" w:line="276"/>
      </w:pPr>
      <w:r>
        <w:rPr>
          <w:rFonts w:ascii="Calibri" w:cs="Calibri" w:eastAsia="Calibri" w:hAnsi="Calibri"/>
          <w:b/>
          <w:bCs/>
          <w:sz w:val="22"/>
          <w:szCs w:val="22"/>
        </w:rPr>
        <w:t xml:space="preserve">Patients. </w:t>
      </w:r>
      <w:r>
        <w:rPr>
          <w:rFonts w:ascii="Calibri" w:cs="Calibri" w:eastAsia="Calibri" w:hAnsi="Calibri"/>
          <w:sz w:val="22"/>
          <w:szCs w:val="22"/>
        </w:rPr>
        <w:t xml:space="preserve">People aged 65 and over are the largest group at 5,701 patients (28.5%), followed by ages 0 to 17 (3,970) and 18 to 34 (3,709). The average age is 45. Gender is balanced (10,090 male and 9,910 female), and each of the five provinces holds between 3,923 and 4,091 patients. A chronic condition is recorded for 74.65% of patients, split almost equally between Asthma, Hypertension and Diabetes. Only 4,443 of the 20,000 patients had an appointment in 2026.</w:t>
      </w:r>
    </w:p>
    <w:p>
      <w:pPr>
        <w:spacing w:after="120" w:line="276"/>
      </w:pPr>
      <w:r>
        <w:rPr>
          <w:rFonts w:ascii="Calibri" w:cs="Calibri" w:eastAsia="Calibri" w:hAnsi="Calibri"/>
          <w:b/>
          <w:bCs/>
          <w:sz w:val="22"/>
          <w:szCs w:val="22"/>
        </w:rPr>
        <w:t xml:space="preserve">Appointments. </w:t>
      </w:r>
      <w:r>
        <w:rPr>
          <w:rFonts w:ascii="Calibri" w:cs="Calibri" w:eastAsia="Calibri" w:hAnsi="Calibri"/>
          <w:sz w:val="22"/>
          <w:szCs w:val="22"/>
        </w:rPr>
        <w:t xml:space="preserve">Demand is steady at 400 to 440 appointments a month, peaking in March (440) and lowest in May (400), with an average of about 417. The three visit types are almost equal: Follow-up 1,694, Consultation 1,656 and Emergency 1,650. The three-month forecast is essentially flat, so staffing plans should not assume growth. Appointments per facility range from 225 (HF001) to 290 (HF004).</w:t>
      </w:r>
    </w:p>
    <w:p>
      <w:pPr>
        <w:spacing w:after="120" w:line="276"/>
      </w:pPr>
      <w:r>
        <w:rPr>
          <w:rFonts w:ascii="Calibri" w:cs="Calibri" w:eastAsia="Calibri" w:hAnsi="Calibri"/>
          <w:b/>
          <w:bCs/>
          <w:sz w:val="22"/>
          <w:szCs w:val="22"/>
        </w:rPr>
        <w:t xml:space="preserve">Clinical. </w:t>
      </w:r>
      <w:r>
        <w:rPr>
          <w:rFonts w:ascii="Calibri" w:cs="Calibri" w:eastAsia="Calibri" w:hAnsi="Calibri"/>
          <w:sz w:val="22"/>
          <w:szCs w:val="22"/>
        </w:rPr>
        <w:t xml:space="preserve">The records contain five diagnoses: Gastritis (12,208), Diabetes (12,083), Hypertension (12,075), Malaria (11,878) and Upper Respiratory Infection (11,756). Severity is split almost exactly into thirds (Mild 20,190, Severe 19,983, Moderate 19,827), so 33.31% of cases are severe. A Key Influencers analysis on the appointment-linked records found no strong driver of severe cases; Power BI listed only two weak effects. Diagnoses are flat over time, so no disease is becoming more common in this data.</w:t>
      </w:r>
    </w:p>
    <w:p>
      <w:pPr>
        <w:spacing w:after="120" w:line="276"/>
      </w:pPr>
      <w:r>
        <w:rPr>
          <w:rFonts w:ascii="Calibri" w:cs="Calibri" w:eastAsia="Calibri" w:hAnsi="Calibri"/>
          <w:b/>
          <w:bCs/>
          <w:sz w:val="22"/>
          <w:szCs w:val="22"/>
        </w:rPr>
        <w:t xml:space="preserve">Financial. </w:t>
      </w:r>
      <w:r>
        <w:rPr>
          <w:rFonts w:ascii="Calibri" w:cs="Calibri" w:eastAsia="Calibri" w:hAnsi="Calibri"/>
          <w:sz w:val="22"/>
          <w:szCs w:val="22"/>
        </w:rPr>
        <w:t xml:space="preserve">The average bill is RWF 155,157. Collected payments are spread evenly across Card (RWF 2.12 billion), Mobile Money (2.10 billion), Insurance (2.09 billion) and Cash (2.07 billion). There are 42,036 insurance claims worth RWF 4.88 billion across four providers: Radiant (10,644 claims, RWF 1.24 billion), RSSB (10,511, 1.21 billion), Private (10,508, 1.22 billion) and MMI (10,373, 1.21 billion). Half the claims are Approved and half Pending, with no rejections, and 17,964 bills have no claim at all. Among appointment-linked payments, facility revenue ranges from RWF 30.7 million (HF015) to RWF 40.3 million (HF004), followed by HF012 and HF017.</w:t>
      </w:r>
    </w:p>
    <w:p>
      <w:pPr>
        <w:spacing w:after="120" w:line="276"/>
      </w:pPr>
      <w:r>
        <w:rPr>
          <w:rFonts w:ascii="Calibri" w:cs="Calibri" w:eastAsia="Calibri" w:hAnsi="Calibri"/>
          <w:b/>
          <w:bCs/>
          <w:sz w:val="22"/>
          <w:szCs w:val="22"/>
        </w:rPr>
        <w:t xml:space="preserve">Operations. </w:t>
      </w:r>
      <w:r>
        <w:rPr>
          <w:rFonts w:ascii="Calibri" w:cs="Calibri" w:eastAsia="Calibri" w:hAnsi="Calibri"/>
          <w:sz w:val="22"/>
          <w:szCs w:val="22"/>
        </w:rPr>
        <w:t xml:space="preserve">Beds (100 per facility) and rooms (20 per facility) are identical across the network, and equipment is split evenly across ten equipment types (20 of each). Across the network there are 12.69 patients with a visit per doctor and 2.5 appointments per bed. Beyond that, the staffing picture is unclear for the reasons given in section 3.</w:t>
      </w:r>
    </w:p>
    <w:p>
      <w:pPr>
        <w:spacing w:after="120" w:line="276"/>
      </w:pPr>
      <w:r>
        <w:rPr>
          <w:rFonts w:ascii="Calibri" w:cs="Calibri" w:eastAsia="Calibri" w:hAnsi="Calibri"/>
          <w:b/>
          <w:bCs/>
          <w:sz w:val="22"/>
          <w:szCs w:val="22"/>
        </w:rPr>
        <w:t xml:space="preserve">Patient experience. </w:t>
      </w:r>
      <w:r>
        <w:rPr>
          <w:rFonts w:ascii="Calibri" w:cs="Calibri" w:eastAsia="Calibri" w:hAnsi="Calibri"/>
          <w:sz w:val="22"/>
          <w:szCs w:val="22"/>
        </w:rPr>
        <w:t xml:space="preserve">Average satisfaction is 2.99 out of 5, with 40.44% of ratings at 1 or 2 and 19.70% at 5. Ratings are spread evenly across all five levels, with about 4,100 to 4,300 at each. Among the 1,756 appointment-linked responses, facility averages range from 2.64 (HF014) to 3.27 (HF005), based on 71 to 104 responses per facility, so the gaps are small. By department, ICU scores lowest (2.76) and Emergency highest (3.02).</w:t>
      </w:r>
    </w:p>
    <w:p>
      <w:pPr>
        <w:pStyle w:val="Heading1"/>
        <w:keepNext/>
        <w:spacing w:after="120" w:before="280"/>
      </w:pPr>
      <w:r>
        <w:rPr>
          <w:rFonts w:ascii="Calibri" w:cs="Calibri" w:eastAsia="Calibri" w:hAnsi="Calibri"/>
          <w:b/>
          <w:bCs/>
          <w:color w:val="0B3C49"/>
          <w:sz w:val="26"/>
          <w:szCs w:val="26"/>
        </w:rPr>
        <w:t xml:space="preserve">5. Answers to the Business Questions</w:t>
      </w:r>
    </w:p>
    <w:p>
      <w:pPr>
        <w:spacing w:after="120" w:line="276"/>
      </w:pPr>
      <w:r>
        <w:rPr>
          <w:rFonts w:ascii="Calibri" w:cs="Calibri" w:eastAsia="Calibri" w:hAnsi="Calibri"/>
          <w:b/>
          <w:bCs/>
          <w:sz w:val="22"/>
          <w:szCs w:val="22"/>
        </w:rPr>
        <w:t xml:space="preserve">Which hospitals serve the most patients? </w:t>
      </w:r>
      <w:r>
        <w:rPr>
          <w:rFonts w:ascii="Calibri" w:cs="Calibri" w:eastAsia="Calibri" w:hAnsi="Calibri"/>
          <w:sz w:val="22"/>
          <w:szCs w:val="22"/>
        </w:rPr>
        <w:t xml:space="preserve">Measured by appointments, HF004 leads with 290, followed by HF012 (269) and HF018 (264). HF001 has the fewest (225).</w:t>
      </w:r>
    </w:p>
    <w:p>
      <w:pPr>
        <w:spacing w:after="120" w:line="276"/>
      </w:pPr>
      <w:r>
        <w:rPr>
          <w:rFonts w:ascii="Calibri" w:cs="Calibri" w:eastAsia="Calibri" w:hAnsi="Calibri"/>
          <w:b/>
          <w:bCs/>
          <w:sz w:val="22"/>
          <w:szCs w:val="22"/>
        </w:rPr>
        <w:t xml:space="preserve">Which departments carry the greatest workload? </w:t>
      </w:r>
      <w:r>
        <w:rPr>
          <w:rFonts w:ascii="Calibri" w:cs="Calibri" w:eastAsia="Calibri" w:hAnsi="Calibri"/>
          <w:sz w:val="22"/>
          <w:szCs w:val="22"/>
        </w:rPr>
        <w:t xml:space="preserve">Cardiology (544 appointments), Radiology (525) and Obstetrics and Gynecology (511). ICU is lowest at 467, so the spread is narrow.</w:t>
      </w:r>
    </w:p>
    <w:p>
      <w:pPr>
        <w:spacing w:after="120" w:line="276"/>
      </w:pPr>
      <w:r>
        <w:rPr>
          <w:rFonts w:ascii="Calibri" w:cs="Calibri" w:eastAsia="Calibri" w:hAnsi="Calibri"/>
          <w:b/>
          <w:bCs/>
          <w:sz w:val="22"/>
          <w:szCs w:val="22"/>
        </w:rPr>
        <w:t xml:space="preserve">Which diseases are becoming more common? </w:t>
      </w:r>
      <w:r>
        <w:rPr>
          <w:rFonts w:ascii="Calibri" w:cs="Calibri" w:eastAsia="Calibri" w:hAnsi="Calibri"/>
          <w:sz w:val="22"/>
          <w:szCs w:val="22"/>
        </w:rPr>
        <w:t xml:space="preserve">None. Diagnoses are evenly split and flat over time.</w:t>
      </w:r>
    </w:p>
    <w:p>
      <w:pPr>
        <w:spacing w:after="120" w:line="276"/>
      </w:pPr>
      <w:r>
        <w:rPr>
          <w:rFonts w:ascii="Calibri" w:cs="Calibri" w:eastAsia="Calibri" w:hAnsi="Calibri"/>
          <w:b/>
          <w:bCs/>
          <w:sz w:val="22"/>
          <w:szCs w:val="22"/>
        </w:rPr>
        <w:t xml:space="preserve">Are medical staff distributed efficiently? </w:t>
      </w:r>
      <w:r>
        <w:rPr>
          <w:rFonts w:ascii="Calibri" w:cs="Calibri" w:eastAsia="Calibri" w:hAnsi="Calibri"/>
          <w:sz w:val="22"/>
          <w:szCs w:val="22"/>
        </w:rPr>
        <w:t xml:space="preserve">This cannot be confirmed, because the staff records disagree about which facility each person belongs to.</w:t>
      </w:r>
    </w:p>
    <w:p>
      <w:pPr>
        <w:spacing w:after="120" w:line="276"/>
      </w:pPr>
      <w:r>
        <w:rPr>
          <w:rFonts w:ascii="Calibri" w:cs="Calibri" w:eastAsia="Calibri" w:hAnsi="Calibri"/>
          <w:b/>
          <w:bCs/>
          <w:sz w:val="22"/>
          <w:szCs w:val="22"/>
        </w:rPr>
        <w:t xml:space="preserve">Which insurers generate the largest revenue? </w:t>
      </w:r>
      <w:r>
        <w:rPr>
          <w:rFonts w:ascii="Calibri" w:cs="Calibri" w:eastAsia="Calibri" w:hAnsi="Calibri"/>
          <w:sz w:val="22"/>
          <w:szCs w:val="22"/>
        </w:rPr>
        <w:t xml:space="preserve">By claim value, Radiant is highest (RWF 1.24 billion), but the four providers are within 2% of each other. Patients’ insurance IDs cannot be linked to these providers because there is no insurance master table.</w:t>
      </w:r>
    </w:p>
    <w:p>
      <w:pPr>
        <w:spacing w:after="120" w:line="276"/>
      </w:pPr>
      <w:r>
        <w:rPr>
          <w:rFonts w:ascii="Calibri" w:cs="Calibri" w:eastAsia="Calibri" w:hAnsi="Calibri"/>
          <w:b/>
          <w:bCs/>
          <w:sz w:val="22"/>
          <w:szCs w:val="22"/>
        </w:rPr>
        <w:t xml:space="preserve">Which facilities have the highest patient satisfaction? </w:t>
      </w:r>
      <w:r>
        <w:rPr>
          <w:rFonts w:ascii="Calibri" w:cs="Calibri" w:eastAsia="Calibri" w:hAnsi="Calibri"/>
          <w:sz w:val="22"/>
          <w:szCs w:val="22"/>
        </w:rPr>
        <w:t xml:space="preserve">HF005 (3.27), HF011 (3.16) and HF009 (3.12), with the caution that each facility has under 105 linked responses.</w:t>
      </w:r>
    </w:p>
    <w:p>
      <w:pPr>
        <w:spacing w:after="120" w:line="276"/>
      </w:pPr>
      <w:r>
        <w:rPr>
          <w:rFonts w:ascii="Calibri" w:cs="Calibri" w:eastAsia="Calibri" w:hAnsi="Calibri"/>
          <w:b/>
          <w:bCs/>
          <w:sz w:val="22"/>
          <w:szCs w:val="22"/>
        </w:rPr>
        <w:t xml:space="preserve">Which hospitals require expansion? </w:t>
      </w:r>
      <w:r>
        <w:rPr>
          <w:rFonts w:ascii="Calibri" w:cs="Calibri" w:eastAsia="Calibri" w:hAnsi="Calibri"/>
          <w:sz w:val="22"/>
          <w:szCs w:val="22"/>
        </w:rPr>
        <w:t xml:space="preserve">The data does not make a case for it. Beds and rooms are uniform, occupancy cannot be measured, and demand is flat.</w:t>
      </w:r>
    </w:p>
    <w:p>
      <w:pPr>
        <w:spacing w:after="120" w:line="276"/>
      </w:pPr>
      <w:r>
        <w:rPr>
          <w:rFonts w:ascii="Calibri" w:cs="Calibri" w:eastAsia="Calibri" w:hAnsi="Calibri"/>
          <w:b/>
          <w:bCs/>
          <w:sz w:val="22"/>
          <w:szCs w:val="22"/>
        </w:rPr>
        <w:t xml:space="preserve">How can operational costs be reduced? </w:t>
      </w:r>
      <w:r>
        <w:rPr>
          <w:rFonts w:ascii="Calibri" w:cs="Calibri" w:eastAsia="Calibri" w:hAnsi="Calibri"/>
          <w:sz w:val="22"/>
          <w:szCs w:val="22"/>
        </w:rPr>
        <w:t xml:space="preserve">No cost data was supplied. The most measurable opportunity is financial: the RWF 919.9 million outstanding and the 17,964 bills with no claim.</w:t>
      </w:r>
    </w:p>
    <w:p>
      <w:pPr>
        <w:spacing w:after="120" w:line="276"/>
      </w:pPr>
      <w:r>
        <w:rPr>
          <w:rFonts w:ascii="Calibri" w:cs="Calibri" w:eastAsia="Calibri" w:hAnsi="Calibri"/>
          <w:b/>
          <w:bCs/>
          <w:sz w:val="22"/>
          <w:szCs w:val="22"/>
        </w:rPr>
        <w:t xml:space="preserve">Which services contribute most to revenue? </w:t>
      </w:r>
      <w:r>
        <w:rPr>
          <w:rFonts w:ascii="Calibri" w:cs="Calibri" w:eastAsia="Calibri" w:hAnsi="Calibri"/>
          <w:sz w:val="22"/>
          <w:szCs w:val="22"/>
        </w:rPr>
        <w:t xml:space="preserve">This cannot be determined, because bills carry no service information.</w:t>
      </w:r>
    </w:p>
    <w:p>
      <w:pPr>
        <w:spacing w:after="120" w:line="276"/>
      </w:pPr>
      <w:r>
        <w:rPr>
          <w:rFonts w:ascii="Calibri" w:cs="Calibri" w:eastAsia="Calibri" w:hAnsi="Calibri"/>
          <w:b/>
          <w:bCs/>
          <w:sz w:val="22"/>
          <w:szCs w:val="22"/>
        </w:rPr>
        <w:t xml:space="preserve">Which regions require more investment? </w:t>
      </w:r>
      <w:r>
        <w:rPr>
          <w:rFonts w:ascii="Calibri" w:cs="Calibri" w:eastAsia="Calibri" w:hAnsi="Calibri"/>
          <w:sz w:val="22"/>
          <w:szCs w:val="22"/>
        </w:rPr>
        <w:t xml:space="preserve">Patients are spread evenly across the five provinces, and revenue cannot be assigned to provinces, so the data does not point to any region.</w:t>
      </w:r>
    </w:p>
    <w:p>
      <w:pPr>
        <w:pStyle w:val="Heading1"/>
        <w:keepNext/>
        <w:spacing w:after="120" w:before="280"/>
      </w:pPr>
      <w:r>
        <w:rPr>
          <w:rFonts w:ascii="Calibri" w:cs="Calibri" w:eastAsia="Calibri" w:hAnsi="Calibri"/>
          <w:b/>
          <w:bCs/>
          <w:color w:val="0B3C49"/>
          <w:sz w:val="26"/>
          <w:szCs w:val="26"/>
        </w:rPr>
        <w:t xml:space="preserve">6. Recommendations</w:t>
      </w:r>
    </w:p>
    <w:p>
      <w:pPr>
        <w:pStyle w:val="ListParagraph"/>
        <w:numPr>
          <w:ilvl w:val="0"/>
          <w:numId w:val="2"/>
        </w:numPr>
        <w:spacing w:after="100" w:line="276"/>
      </w:pPr>
      <w:r>
        <w:rPr>
          <w:rFonts w:ascii="Calibri" w:cs="Calibri" w:eastAsia="Calibri" w:hAnsi="Calibri"/>
          <w:sz w:val="22"/>
          <w:szCs w:val="22"/>
        </w:rPr>
        <w:t xml:space="preserve">Correct the staff records so each person has one consistent facility and department, then re-run the staffing analysis before moving any doctors.</w:t>
      </w:r>
    </w:p>
    <w:p>
      <w:pPr>
        <w:pStyle w:val="ListParagraph"/>
        <w:numPr>
          <w:ilvl w:val="0"/>
          <w:numId w:val="2"/>
        </w:numPr>
        <w:spacing w:after="100" w:line="276"/>
      </w:pPr>
      <w:r>
        <w:rPr>
          <w:rFonts w:ascii="Calibri" w:cs="Calibri" w:eastAsia="Calibri" w:hAnsi="Calibri"/>
          <w:sz w:val="22"/>
          <w:szCs w:val="22"/>
        </w:rPr>
        <w:t xml:space="preserve">Link every bill and payment to an appointment, and reconcile the Revenue Summary with billing and payments. This is the only way to report revenue by facility, department and province with confidence.</w:t>
      </w:r>
    </w:p>
    <w:p>
      <w:pPr>
        <w:pStyle w:val="ListParagraph"/>
        <w:numPr>
          <w:ilvl w:val="0"/>
          <w:numId w:val="2"/>
        </w:numPr>
        <w:spacing w:after="100" w:line="276"/>
      </w:pPr>
      <w:r>
        <w:rPr>
          <w:rFonts w:ascii="Calibri" w:cs="Calibri" w:eastAsia="Calibri" w:hAnsi="Calibri"/>
          <w:sz w:val="22"/>
          <w:szCs w:val="22"/>
        </w:rPr>
        <w:t xml:space="preserve">Standardise bill status so it reflects the amounts actually paid, then follow up the RWF 919.9 million outstanding and the 17,964 bills without a claim.</w:t>
      </w:r>
    </w:p>
    <w:p>
      <w:pPr>
        <w:pStyle w:val="ListParagraph"/>
        <w:numPr>
          <w:ilvl w:val="0"/>
          <w:numId w:val="2"/>
        </w:numPr>
        <w:spacing w:after="100" w:line="276"/>
      </w:pPr>
      <w:r>
        <w:rPr>
          <w:rFonts w:ascii="Calibri" w:cs="Calibri" w:eastAsia="Calibri" w:hAnsi="Calibri"/>
          <w:sz w:val="22"/>
          <w:szCs w:val="22"/>
        </w:rPr>
        <w:t xml:space="preserve">Work through the 21,028 pending claims, which make up half of all claims filed.</w:t>
      </w:r>
    </w:p>
    <w:p>
      <w:pPr>
        <w:pStyle w:val="ListParagraph"/>
        <w:numPr>
          <w:ilvl w:val="0"/>
          <w:numId w:val="2"/>
        </w:numPr>
        <w:spacing w:after="100" w:line="276"/>
      </w:pPr>
      <w:r>
        <w:rPr>
          <w:rFonts w:ascii="Calibri" w:cs="Calibri" w:eastAsia="Calibri" w:hAnsi="Calibri"/>
          <w:sz w:val="22"/>
          <w:szCs w:val="22"/>
        </w:rPr>
        <w:t xml:space="preserve">Start a patient feedback follow-up process and track the share of ratings at 1 or 2 monthly, aiming to bring it below 30%.</w:t>
      </w:r>
    </w:p>
    <w:p>
      <w:pPr>
        <w:pStyle w:val="ListParagraph"/>
        <w:numPr>
          <w:ilvl w:val="0"/>
          <w:numId w:val="2"/>
        </w:numPr>
        <w:spacing w:after="100" w:line="276"/>
      </w:pPr>
      <w:r>
        <w:rPr>
          <w:rFonts w:ascii="Calibri" w:cs="Calibri" w:eastAsia="Calibri" w:hAnsi="Calibri"/>
          <w:sz w:val="22"/>
          <w:szCs w:val="22"/>
        </w:rPr>
        <w:t xml:space="preserve">Plan services for older and chronic-care patients, since people aged 65 and over are the largest group and nearly three in four patients have a chronic condition.</w:t>
      </w:r>
    </w:p>
    <w:p>
      <w:pPr>
        <w:pStyle w:val="ListParagraph"/>
        <w:numPr>
          <w:ilvl w:val="0"/>
          <w:numId w:val="2"/>
        </w:numPr>
        <w:spacing w:after="100" w:line="276"/>
      </w:pPr>
      <w:r>
        <w:rPr>
          <w:rFonts w:ascii="Calibri" w:cs="Calibri" w:eastAsia="Calibri" w:hAnsi="Calibri"/>
          <w:sz w:val="22"/>
          <w:szCs w:val="22"/>
        </w:rPr>
        <w:t xml:space="preserve">Capture admissions, laboratory, prescription and referral data, together with a facility master and an insurance master, so the KPIs that could not be reported here can be included next time.</w:t>
      </w:r>
    </w:p>
    <w:p>
      <w:pPr>
        <w:pStyle w:val="Heading1"/>
        <w:keepNext/>
        <w:spacing w:after="120" w:before="280"/>
      </w:pPr>
      <w:r>
        <w:rPr>
          <w:rFonts w:ascii="Calibri" w:cs="Calibri" w:eastAsia="Calibri" w:hAnsi="Calibri"/>
          <w:b/>
          <w:bCs/>
          <w:color w:val="0B3C49"/>
          <w:sz w:val="26"/>
          <w:szCs w:val="26"/>
        </w:rPr>
        <w:t xml:space="preserve">7. Conclusion</w:t>
      </w:r>
    </w:p>
    <w:p>
      <w:pPr>
        <w:spacing w:after="120" w:line="276"/>
      </w:pPr>
      <w:r>
        <w:rPr>
          <w:rFonts w:ascii="Calibri" w:cs="Calibri" w:eastAsia="Calibri" w:hAnsi="Calibri"/>
          <w:sz w:val="22"/>
          <w:szCs w:val="22"/>
        </w:rPr>
        <w:t xml:space="preserve">HealthConnect Rwanda looks evenly resourced, and demand is stable. The weaknesses are in record-keeping and billing: records that do not link to each other, staff assignments that conflict, and a large amount of unpaid or unclaimed revenue. Fixing the links between appointments, staff and financial records is the first step, because it makes every other question in this report answerable with confidence.</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8A8F"/>
        <w:sz w:val="18"/>
        <w:szCs w:val="18"/>
      </w:rPr>
      <w:t xml:space="preserve">HealthConnect Rwanda | Business Insights Report | Page </w:t>
    </w:r>
    <w:r>
      <w:rPr>
        <w:rFonts w:ascii="Calibri" w:cs="Calibri" w:eastAsia="Calibri" w:hAnsi="Calibri"/>
        <w:color w:val="6B8A8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HealthConnect Rwanda: Business Insights Report</dc:title>
  <dc:creator>Olabisi Amusan</dc:creator>
  <cp:lastModifiedBy>Un-named</cp:lastModifiedBy>
  <cp:revision>1</cp:revision>
  <dcterms:created xsi:type="dcterms:W3CDTF">2026-10-25T22:24:21.420Z</dcterms:created>
  <dcterms:modified xsi:type="dcterms:W3CDTF">2026-10-25T22:24:21.425Z</dcterms:modified>
</cp:coreProperties>
</file>

<file path=docProps/custom.xml><?xml version="1.0" encoding="utf-8"?>
<Properties xmlns="http://schemas.openxmlformats.org/officeDocument/2006/custom-properties" xmlns:vt="http://schemas.openxmlformats.org/officeDocument/2006/docPropsVTypes"/>
</file>