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78"/>
          <w:sz w:val="36"/>
          <w:szCs w:val="36"/>
        </w:rPr>
        <w:t xml:space="preserve">FinTrust Digital Bank — Week 3 Documentation</w:t>
      </w:r>
    </w:p>
    <w:p>
      <w:pPr>
        <w:spacing w:after="60"/>
      </w:pPr>
      <w:r>
        <w:rPr>
          <w:color w:val="595959"/>
          <w:sz w:val="22"/>
          <w:szCs w:val="22"/>
        </w:rPr>
        <w:t xml:space="preserve">Data Analytics Track | AnalystLab Africa Experience Lab Internship Programme</w:t>
      </w:r>
    </w:p>
    <w:p>
      <w:pPr>
        <w:spacing w:after="400"/>
      </w:pPr>
      <w:r>
        <w:rPr>
          <w:color w:val="595959"/>
          <w:sz w:val="22"/>
          <w:szCs w:val="22"/>
        </w:rPr>
        <w:t xml:space="preserve">Olabisi Amusan</w:t>
      </w:r>
    </w:p>
    <w:p>
      <w:pPr>
        <w:pStyle w:val="Heading1"/>
        <w:spacing w:after="200" w:before="400"/>
      </w:pPr>
      <w:r>
        <w:t xml:space="preserve">Part A — Review of Week 2 Analysis</w:t>
      </w:r>
    </w:p>
    <w:p>
      <w:pPr>
        <w:spacing w:after="160"/>
      </w:pPr>
      <w:r>
        <w:t xml:space="preserve">Before starting Week 3, I went back through everything from Week 2 — the Excel data-quality workbook, the SQL queries, the Python notebook, the dashboard, and the findings I'd written up. A few things stood out as genuinely needing work, not just polish, so I've documented four of them below (one more than the brief asks for).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850"/>
        <w:gridCol w:w="2900"/>
      </w:tblGrid>
      <w:tr>
        <w:tc>
          <w:tcPr>
            <w:tcW w:type="dxa" w:w="2600"/>
            <w:shd w:fill="1F4E78" w:val="clear"/>
          </w:tcPr>
          <w:p>
            <w:r>
              <w:rPr>
                <w:b/>
                <w:bCs/>
                <w:color w:val="FFFFFF"/>
                <w:sz w:val="20"/>
                <w:szCs w:val="20"/>
              </w:rPr>
              <w:t xml:space="preserve">Issue / Gap</w:t>
            </w:r>
          </w:p>
        </w:tc>
        <w:tc>
          <w:tcPr>
            <w:tcW w:type="dxa" w:w="3850"/>
            <w:shd w:fill="1F4E78" w:val="clear"/>
          </w:tcPr>
          <w:p>
            <w:r>
              <w:rPr>
                <w:b/>
                <w:bCs/>
                <w:color w:val="FFFFFF"/>
                <w:sz w:val="20"/>
                <w:szCs w:val="20"/>
              </w:rPr>
              <w:t xml:space="preserve">Evidence</w:t>
            </w:r>
          </w:p>
        </w:tc>
        <w:tc>
          <w:tcPr>
            <w:tcW w:type="dxa" w:w="2900"/>
            <w:shd w:fill="1F4E78" w:val="clear"/>
          </w:tcPr>
          <w:p>
            <w:r>
              <w:rPr>
                <w:b/>
                <w:bCs/>
                <w:color w:val="FFFFFF"/>
                <w:sz w:val="20"/>
                <w:szCs w:val="20"/>
              </w:rPr>
              <w:t xml:space="preserve">Required Improvement</w:t>
            </w:r>
          </w:p>
        </w:tc>
      </w:tr>
      <w:tr>
        <w:tc>
          <w:tcPr>
            <w:tcW w:type="dxa" w:w="2600"/>
          </w:tcPr>
          <w:p>
            <w:r>
              <w:rPr>
                <w:b w:val="false"/>
                <w:bCs w:val="false"/>
                <w:sz w:val="20"/>
                <w:szCs w:val="20"/>
              </w:rPr>
              <w:t xml:space="preserve">A DAX measure was quietly returning the wrong numbers</w:t>
            </w:r>
          </w:p>
        </w:tc>
        <w:tc>
          <w:tcPr>
            <w:tcW w:type="dxa" w:w="3850"/>
          </w:tcPr>
          <w:p>
            <w:r>
              <w:rPr>
                <w:b w:val="false"/>
                <w:bCs w:val="false"/>
                <w:sz w:val="20"/>
                <w:szCs w:val="20"/>
              </w:rPr>
              <w:t xml:space="preserve">The Total transactions measure used COUNTROWS(ALL('Transactions')), which wipes out any filter context. I didn't catch it until I actually looked closely at the Transaction Status chart and noticed every single bar — Successful, Failed, Reversed, Pending — showed exactly 12,000.</w:t>
            </w:r>
          </w:p>
        </w:tc>
        <w:tc>
          <w:tcPr>
            <w:tcW w:type="dxa" w:w="2900"/>
          </w:tcPr>
          <w:p>
            <w:r>
              <w:rPr>
                <w:b w:val="false"/>
                <w:bCs w:val="false"/>
                <w:sz w:val="20"/>
                <w:szCs w:val="20"/>
              </w:rPr>
              <w:t xml:space="preserve">Took ALL() out of the formula. Going forward I'm going to spot-check at least one chart per dashboard against a manual row count before calling anything 'done'.</w:t>
            </w:r>
          </w:p>
        </w:tc>
      </w:tr>
      <w:tr>
        <w:tc>
          <w:tcPr>
            <w:tcW w:type="dxa" w:w="2600"/>
          </w:tcPr>
          <w:p>
            <w:r>
              <w:rPr>
                <w:b w:val="false"/>
                <w:bCs w:val="false"/>
                <w:sz w:val="20"/>
                <w:szCs w:val="20"/>
              </w:rPr>
              <w:t xml:space="preserve">Outliers were flagged by a statistical rule I never actually tested</w:t>
            </w:r>
          </w:p>
        </w:tc>
        <w:tc>
          <w:tcPr>
            <w:tcW w:type="dxa" w:w="3850"/>
          </w:tcPr>
          <w:p>
            <w:r>
              <w:rPr>
                <w:b w:val="false"/>
                <w:bCs w:val="false"/>
                <w:sz w:val="20"/>
                <w:szCs w:val="20"/>
              </w:rPr>
              <w:t xml:space="preserve">Week 2's outlier threshold was a standard 1.5x IQR per transaction type. It's a reasonable default, but I'd never checked whether the transactions it flagged actually carried more real risk.</w:t>
            </w:r>
          </w:p>
        </w:tc>
        <w:tc>
          <w:tcPr>
            <w:tcW w:type="dxa" w:w="2900"/>
          </w:tcPr>
          <w:p>
            <w:r>
              <w:rPr>
                <w:b w:val="false"/>
                <w:bCs w:val="false"/>
                <w:sz w:val="20"/>
                <w:szCs w:val="20"/>
              </w:rPr>
              <w:t xml:space="preserve">Built a percentile-based high-value flag (top 10% within each type) and checked its risk-review rate directly — turning a guess into something I could actually back up.</w:t>
            </w:r>
          </w:p>
        </w:tc>
      </w:tr>
      <w:tr>
        <w:tc>
          <w:tcPr>
            <w:tcW w:type="dxa" w:w="2600"/>
          </w:tcPr>
          <w:p>
            <w:r>
              <w:rPr>
                <w:b w:val="false"/>
                <w:bCs w:val="false"/>
                <w:sz w:val="20"/>
                <w:szCs w:val="20"/>
              </w:rPr>
              <w:t xml:space="preserve">I was only ever looking at one variable at a time</w:t>
            </w:r>
          </w:p>
        </w:tc>
        <w:tc>
          <w:tcPr>
            <w:tcW w:type="dxa" w:w="3850"/>
          </w:tcPr>
          <w:p>
            <w:r>
              <w:rPr>
                <w:b w:val="false"/>
                <w:bCs w:val="false"/>
                <w:sz w:val="20"/>
                <w:szCs w:val="20"/>
              </w:rPr>
              <w:t xml:space="preserve">The channel success-rate chart and the risk heatmap each looked at a single dimension. That hid the fact that the worst success rate (Student customers on Web, 88.1%) and the worst risk rate (Premium customers on Web, 25.5%) both belong to specific segment-channel pairs, not a whole channel or segment.</w:t>
            </w:r>
          </w:p>
        </w:tc>
        <w:tc>
          <w:tcPr>
            <w:tcW w:type="dxa" w:w="2900"/>
          </w:tcPr>
          <w:p>
            <w:r>
              <w:rPr>
                <w:b w:val="false"/>
                <w:bCs w:val="false"/>
                <w:sz w:val="20"/>
                <w:szCs w:val="20"/>
              </w:rPr>
              <w:t xml:space="preserve">Added a second heatmap crossing segment and channel together, with a toggle so both views are available without cluttering the dashboard.</w:t>
            </w:r>
          </w:p>
        </w:tc>
      </w:tr>
      <w:tr>
        <w:tc>
          <w:tcPr>
            <w:tcW w:type="dxa" w:w="2600"/>
          </w:tcPr>
          <w:p>
            <w:r>
              <w:rPr>
                <w:b w:val="false"/>
                <w:bCs w:val="false"/>
                <w:sz w:val="20"/>
                <w:szCs w:val="20"/>
              </w:rPr>
              <w:t xml:space="preserve">The monthly trend chart was telling a story that wasn't true</w:t>
            </w:r>
          </w:p>
        </w:tc>
        <w:tc>
          <w:tcPr>
            <w:tcW w:type="dxa" w:w="3850"/>
          </w:tcPr>
          <w:p>
            <w:r>
              <w:rPr>
                <w:b w:val="false"/>
                <w:bCs w:val="false"/>
                <w:sz w:val="20"/>
                <w:szCs w:val="20"/>
              </w:rPr>
              <w:t xml:space="preserve">Raw monthly totals made February look like a real slowdown — a 9.7% drop from January.</w:t>
            </w:r>
          </w:p>
        </w:tc>
        <w:tc>
          <w:tcPr>
            <w:tcW w:type="dxa" w:w="2900"/>
          </w:tcPr>
          <w:p>
            <w:r>
              <w:rPr>
                <w:b w:val="false"/>
                <w:bCs w:val="false"/>
                <w:sz w:val="20"/>
                <w:szCs w:val="20"/>
              </w:rPr>
              <w:t xml:space="preserve">Added a day-of-week breakdown and turned on full date drill-down, so I can sanity-check any monthly number against the daily pattern before trusting it.</w:t>
            </w:r>
          </w:p>
        </w:tc>
      </w:tr>
    </w:tbl>
    <w:p>
      <w:pPr>
        <w:pStyle w:val="Heading1"/>
        <w:spacing w:after="200" w:before="400"/>
      </w:pPr>
      <w:r>
        <w:t xml:space="preserve">Part E — Validation of Major Findings</w:t>
      </w:r>
    </w:p>
    <w:p>
      <w:pPr>
        <w:spacing w:after="160"/>
      </w:pPr>
      <w:r>
        <w:t xml:space="preserve">I picked five findings worth putting to a proper test — some from Week 2, one new one from this week. Two of them held up exactly as expected. Two others turned out to be only half-right once I looked at the combination of variables instead of each one alone. And one, the February dip, didn't hold up at all.</w:t>
      </w:r>
    </w:p>
    <w:p>
      <w:pPr>
        <w:pStyle w:val="Heading2"/>
        <w:spacing w:after="150" w:before="300"/>
      </w:pPr>
      <w:r>
        <w:t xml:space="preserve">1. Does engagement actually drive activity?</w:t>
      </w:r>
    </w:p>
    <w:p>
      <w:pPr>
        <w:pStyle w:val="ListParagraph"/>
        <w:numPr>
          <w:ilvl w:val="0"/>
          <w:numId w:val="1"/>
        </w:numPr>
        <w:spacing w:after="100"/>
      </w:pPr>
      <w:r>
        <w:rPr>
          <w:b/>
          <w:bCs/>
        </w:rPr>
        <w:t xml:space="preserve">What I originally found: </w:t>
      </w:r>
      <w:r>
        <w:t xml:space="preserve">A near-zero correlation (r ≈ 0.04) between Digital_Engagement_Score and how often a customer transacts.</w:t>
      </w:r>
    </w:p>
    <w:p>
      <w:pPr>
        <w:pStyle w:val="ListParagraph"/>
        <w:numPr>
          <w:ilvl w:val="0"/>
          <w:numId w:val="1"/>
        </w:numPr>
        <w:spacing w:after="100"/>
      </w:pPr>
      <w:r>
        <w:rPr>
          <w:b/>
          <w:bCs/>
        </w:rPr>
        <w:t xml:space="preserve">How I tested it: </w:t>
      </w:r>
      <w:r>
        <w:t xml:space="preserve">Split customers into engagement quartiles and ran a one-way ANOVA. The quartile averages were almost identical (7.94, 7.90, 7.90, 8.26 transactions), and the test came back with p = 0.238 — nowhere near significant.</w:t>
      </w:r>
    </w:p>
    <w:p>
      <w:pPr>
        <w:pStyle w:val="ListParagraph"/>
        <w:numPr>
          <w:ilvl w:val="0"/>
          <w:numId w:val="1"/>
        </w:numPr>
        <w:spacing w:after="100"/>
      </w:pPr>
      <w:r>
        <w:rPr>
          <w:b/>
          <w:bCs/>
        </w:rPr>
        <w:t xml:space="preserve">What that means: </w:t>
      </w:r>
      <w:r>
        <w:t xml:space="preserve">This one holds up. I'd be wasting effort if I pushed engagement-based campaigns expecting them to move transaction volume.</w:t>
      </w:r>
    </w:p>
    <w:p>
      <w:pPr>
        <w:pStyle w:val="Heading2"/>
        <w:spacing w:after="150" w:before="300"/>
      </w:pPr>
      <w:r>
        <w:t xml:space="preserve">2. Was there really a February slowdown?</w:t>
      </w:r>
    </w:p>
    <w:p>
      <w:pPr>
        <w:pStyle w:val="ListParagraph"/>
        <w:numPr>
          <w:ilvl w:val="0"/>
          <w:numId w:val="1"/>
        </w:numPr>
        <w:spacing w:after="100"/>
      </w:pPr>
      <w:r>
        <w:rPr>
          <w:b/>
          <w:bCs/>
        </w:rPr>
        <w:t xml:space="preserve">What I originally found: </w:t>
      </w:r>
      <w:r>
        <w:t xml:space="preserve">4,133 transactions in January, dropping to 3,734 in February, back up to 4,133 in March — a 9.7% dip that looked worth flagging.</w:t>
      </w:r>
    </w:p>
    <w:p>
      <w:pPr>
        <w:pStyle w:val="ListParagraph"/>
        <w:numPr>
          <w:ilvl w:val="0"/>
          <w:numId w:val="1"/>
        </w:numPr>
        <w:spacing w:after="100"/>
      </w:pPr>
      <w:r>
        <w:rPr>
          <w:b/>
          <w:bCs/>
        </w:rPr>
        <w:t xml:space="preserve">How I tested it: </w:t>
      </w:r>
      <w:r>
        <w:t xml:space="preserve">Divided each month's total by its number of days. The daily rate came out to 133.3, 133.4, and 133.3 — basically the same number, every month.</w:t>
      </w:r>
    </w:p>
    <w:p>
      <w:pPr>
        <w:pStyle w:val="ListParagraph"/>
        <w:numPr>
          <w:ilvl w:val="0"/>
          <w:numId w:val="1"/>
        </w:numPr>
        <w:spacing w:after="100"/>
      </w:pPr>
      <w:r>
        <w:rPr>
          <w:b/>
          <w:bCs/>
        </w:rPr>
        <w:t xml:space="preserve">What that means: </w:t>
      </w:r>
      <w:r>
        <w:t xml:space="preserve">This one doesn't hold up at all. February just has fewer days. If I'd reported the raw monthly drop without checking this, I'd have sent a false signal about seasonal demand.</w:t>
      </w:r>
    </w:p>
    <w:p>
      <w:pPr>
        <w:pStyle w:val="Heading2"/>
        <w:spacing w:after="150" w:before="300"/>
      </w:pPr>
      <w:r>
        <w:t xml:space="preserve">3. Is Mobile App really the weak channel?</w:t>
      </w:r>
    </w:p>
    <w:p>
      <w:pPr>
        <w:pStyle w:val="ListParagraph"/>
        <w:numPr>
          <w:ilvl w:val="0"/>
          <w:numId w:val="1"/>
        </w:numPr>
        <w:spacing w:after="100"/>
      </w:pPr>
      <w:r>
        <w:rPr>
          <w:b/>
          <w:bCs/>
        </w:rPr>
        <w:t xml:space="preserve">What I originally found: </w:t>
      </w:r>
      <w:r>
        <w:t xml:space="preserve">Mobile App had the lowest overall success rate of the five channels, at 89.75% (ATM was the best, at 91.70%).</w:t>
      </w:r>
    </w:p>
    <w:p>
      <w:pPr>
        <w:pStyle w:val="ListParagraph"/>
        <w:numPr>
          <w:ilvl w:val="0"/>
          <w:numId w:val="1"/>
        </w:numPr>
        <w:spacing w:after="100"/>
      </w:pPr>
      <w:r>
        <w:rPr>
          <w:b/>
          <w:bCs/>
        </w:rPr>
        <w:t xml:space="preserve">How I tested it: </w:t>
      </w:r>
      <w:r>
        <w:t xml:space="preserve">Crossed channel with customer segment instead of looking at channel alone. Mobile App is still weak on average, but the single worst cell in the whole table is actually Student customers on Web, at 88.1% — just barely below Mobile App's own worst segment (Student, 88.5%).</w:t>
      </w:r>
    </w:p>
    <w:p>
      <w:pPr>
        <w:pStyle w:val="ListParagraph"/>
        <w:numPr>
          <w:ilvl w:val="0"/>
          <w:numId w:val="1"/>
        </w:numPr>
        <w:spacing w:after="100"/>
      </w:pPr>
      <w:r>
        <w:rPr>
          <w:b/>
          <w:bCs/>
        </w:rPr>
        <w:t xml:space="preserve">What that means: </w:t>
      </w:r>
      <w:r>
        <w:t xml:space="preserve">The original finding isn't wrong, but it's not precise enough to act on. If I were prioritizing a fix, I'd start with how Student customers experience the Web channel, not a blanket Mobile App investigation.</w:t>
      </w:r>
    </w:p>
    <w:p>
      <w:pPr>
        <w:pStyle w:val="Heading2"/>
        <w:spacing w:after="150" w:before="300"/>
      </w:pPr>
      <w:r>
        <w:t xml:space="preserve">4. Are Premium customers really the highest risk?</w:t>
      </w:r>
    </w:p>
    <w:p>
      <w:pPr>
        <w:pStyle w:val="ListParagraph"/>
        <w:numPr>
          <w:ilvl w:val="0"/>
          <w:numId w:val="1"/>
        </w:numPr>
        <w:spacing w:after="100"/>
      </w:pPr>
      <w:r>
        <w:rPr>
          <w:b/>
          <w:bCs/>
        </w:rPr>
        <w:t xml:space="preserve">What I originally found: </w:t>
      </w:r>
      <w:r>
        <w:t xml:space="preserve">Premium customers had the highest segment-level risk-review rate at 20.33%, compared to 19.29% for Everyday, the lowest.</w:t>
      </w:r>
    </w:p>
    <w:p>
      <w:pPr>
        <w:pStyle w:val="ListParagraph"/>
        <w:numPr>
          <w:ilvl w:val="0"/>
          <w:numId w:val="1"/>
        </w:numPr>
        <w:spacing w:after="100"/>
      </w:pPr>
      <w:r>
        <w:rPr>
          <w:b/>
          <w:bCs/>
        </w:rPr>
        <w:t xml:space="preserve">How I tested it: </w:t>
      </w:r>
      <w:r>
        <w:t xml:space="preserve">Same approach as above — crossed segment with channel. Premium's overall number is a bit misleading on its own: their risk rate on Web specifically is 25.47%, well above the dataset average of 19.60%, while their risk on other channels is much closer to normal.</w:t>
      </w:r>
    </w:p>
    <w:p>
      <w:pPr>
        <w:pStyle w:val="ListParagraph"/>
        <w:numPr>
          <w:ilvl w:val="0"/>
          <w:numId w:val="1"/>
        </w:numPr>
        <w:spacing w:after="100"/>
      </w:pPr>
      <w:r>
        <w:rPr>
          <w:b/>
          <w:bCs/>
        </w:rPr>
        <w:t xml:space="preserve">What that means: </w:t>
      </w:r>
      <w:r>
        <w:t xml:space="preserve">Flagging all Premium activity for extra review would catch a lot of transactions that aren't actually risky. The real target is Premium-on-Web specifically.</w:t>
      </w:r>
    </w:p>
    <w:p>
      <w:pPr>
        <w:pStyle w:val="Heading2"/>
        <w:spacing w:after="150" w:before="300"/>
      </w:pPr>
      <w:r>
        <w:t xml:space="preserve">5. Do high-value transactions actually carry more risk?</w:t>
      </w:r>
    </w:p>
    <w:p>
      <w:pPr>
        <w:pStyle w:val="ListParagraph"/>
        <w:numPr>
          <w:ilvl w:val="0"/>
          <w:numId w:val="1"/>
        </w:numPr>
        <w:spacing w:after="100"/>
      </w:pPr>
      <w:r>
        <w:rPr>
          <w:b/>
          <w:bCs/>
        </w:rPr>
        <w:t xml:space="preserve">What I originally found: </w:t>
      </w:r>
      <w:r>
        <w:t xml:space="preserve">Nothing yet — this was a new question I wanted to test this week, not a Week 2 finding.</w:t>
      </w:r>
    </w:p>
    <w:p>
      <w:pPr>
        <w:pStyle w:val="ListParagraph"/>
        <w:numPr>
          <w:ilvl w:val="0"/>
          <w:numId w:val="1"/>
        </w:numPr>
        <w:spacing w:after="100"/>
      </w:pPr>
      <w:r>
        <w:rPr>
          <w:b/>
          <w:bCs/>
        </w:rPr>
        <w:t xml:space="preserve">How I tested it: </w:t>
      </w:r>
      <w:r>
        <w:t xml:space="preserve">Flagged any transaction above the 90th percentile for its own type, then compared risk-review rates. High-value transactions came back at 29.5%, against 18.5% for everything else — and I got the same gap independently in both SQL and Python, which gave me more confidence it's real.</w:t>
      </w:r>
    </w:p>
    <w:p>
      <w:pPr>
        <w:pStyle w:val="ListParagraph"/>
        <w:numPr>
          <w:ilvl w:val="0"/>
          <w:numId w:val="1"/>
        </w:numPr>
        <w:spacing w:after="100"/>
      </w:pPr>
      <w:r>
        <w:rPr>
          <w:b/>
          <w:bCs/>
        </w:rPr>
        <w:t xml:space="preserve">What that means: </w:t>
      </w:r>
      <w:r>
        <w:t xml:space="preserve">This is a legitimate signal worth automating, not just a side effect of how the outlier rule was built.</w:t>
      </w:r>
    </w:p>
    <w:p>
      <w:pPr>
        <w:pStyle w:val="Heading1"/>
        <w:spacing w:after="200" w:before="400"/>
      </w:pPr>
      <w:r>
        <w:t xml:space="preserve">Part F — Management Recommendations</w:t>
      </w:r>
    </w:p>
    <w:p>
      <w:pPr>
        <w:spacing w:after="160"/>
      </w:pPr>
      <w:r>
        <w:t xml:space="preserve">Each of these ties directly back to one of the five findings above — I tried to avoid recommending anything I couldn't point to a specific number for.</w:t>
      </w:r>
    </w:p>
    <w:p>
      <w:pPr>
        <w:pStyle w:val="Heading2"/>
        <w:spacing w:after="150" w:before="300"/>
      </w:pPr>
      <w:r>
        <w:t xml:space="preserve">1. Stop targeting campaigns by engagement score</w:t>
      </w:r>
    </w:p>
    <w:p>
      <w:pPr>
        <w:pStyle w:val="ListParagraph"/>
        <w:numPr>
          <w:ilvl w:val="0"/>
          <w:numId w:val="1"/>
        </w:numPr>
        <w:spacing w:after="100"/>
      </w:pPr>
      <w:r>
        <w:rPr>
          <w:b/>
          <w:bCs/>
        </w:rPr>
        <w:t xml:space="preserve">Why: </w:t>
      </w:r>
      <w:r>
        <w:t xml:space="preserve">Engagement score doesn't predict activity (p = 0.238), so campaigns built around it are aiming at the wrong lever.</w:t>
      </w:r>
    </w:p>
    <w:p>
      <w:pPr>
        <w:pStyle w:val="ListParagraph"/>
        <w:numPr>
          <w:ilvl w:val="0"/>
          <w:numId w:val="1"/>
        </w:numPr>
        <w:spacing w:after="100"/>
      </w:pPr>
      <w:r>
        <w:rPr>
          <w:b/>
          <w:bCs/>
        </w:rPr>
        <w:t xml:space="preserve">What I'd do instead: </w:t>
      </w:r>
      <w:r>
        <w:t xml:space="preserve">Test Monthly_Income_Band and Tenure_Months as alternatives in Week 4 — neither has been checked yet.</w:t>
      </w:r>
    </w:p>
    <w:p>
      <w:pPr>
        <w:pStyle w:val="Heading2"/>
        <w:spacing w:after="150" w:before="300"/>
      </w:pPr>
      <w:r>
        <w:t xml:space="preserve">2. Normalize monthly numbers before reporting them</w:t>
      </w:r>
    </w:p>
    <w:p>
      <w:pPr>
        <w:pStyle w:val="ListParagraph"/>
        <w:numPr>
          <w:ilvl w:val="0"/>
          <w:numId w:val="1"/>
        </w:numPr>
        <w:spacing w:after="100"/>
      </w:pPr>
      <w:r>
        <w:rPr>
          <w:b/>
          <w:bCs/>
        </w:rPr>
        <w:t xml:space="preserve">Why: </w:t>
      </w:r>
      <w:r>
        <w:t xml:space="preserve">The February dip was purely a day-count artifact, and I only caught it by accident while double-checking a different query.</w:t>
      </w:r>
    </w:p>
    <w:p>
      <w:pPr>
        <w:pStyle w:val="ListParagraph"/>
        <w:numPr>
          <w:ilvl w:val="0"/>
          <w:numId w:val="1"/>
        </w:numPr>
        <w:spacing w:after="100"/>
      </w:pPr>
      <w:r>
        <w:rPr>
          <w:b/>
          <w:bCs/>
        </w:rPr>
        <w:t xml:space="preserve">What I'd do instead: </w:t>
      </w:r>
      <w:r>
        <w:t xml:space="preserve">Add a transactions-per-day measure to the dashboard as the default trend view, with raw totals as a secondary option.</w:t>
      </w:r>
    </w:p>
    <w:p>
      <w:pPr>
        <w:pStyle w:val="Heading2"/>
        <w:spacing w:after="150" w:before="300"/>
      </w:pPr>
      <w:r>
        <w:t xml:space="preserve">3. Investigate the Web experience for Student customers specifically</w:t>
      </w:r>
    </w:p>
    <w:p>
      <w:pPr>
        <w:pStyle w:val="ListParagraph"/>
        <w:numPr>
          <w:ilvl w:val="0"/>
          <w:numId w:val="1"/>
        </w:numPr>
        <w:spacing w:after="100"/>
      </w:pPr>
      <w:r>
        <w:rPr>
          <w:b/>
          <w:bCs/>
        </w:rPr>
        <w:t xml:space="preserve">Why: </w:t>
      </w:r>
      <w:r>
        <w:t xml:space="preserve">That combination has the lowest success rate in the whole dataset (88.1%), lower than Mobile App's worst case.</w:t>
      </w:r>
    </w:p>
    <w:p>
      <w:pPr>
        <w:pStyle w:val="ListParagraph"/>
        <w:numPr>
          <w:ilvl w:val="0"/>
          <w:numId w:val="1"/>
        </w:numPr>
        <w:spacing w:after="100"/>
      </w:pPr>
      <w:r>
        <w:rPr>
          <w:b/>
          <w:bCs/>
        </w:rPr>
        <w:t xml:space="preserve">What I'd do instead: </w:t>
      </w:r>
      <w:r>
        <w:t xml:space="preserve">Request session-level logs or error codes for Student accounts on Web before committing budget to a channel-wide fix.</w:t>
      </w:r>
    </w:p>
    <w:p>
      <w:pPr>
        <w:pStyle w:val="Heading2"/>
        <w:spacing w:after="150" w:before="300"/>
      </w:pPr>
      <w:r>
        <w:t xml:space="preserve">4. Target review resources at Premium-on-Web, not all Premium activity</w:t>
      </w:r>
    </w:p>
    <w:p>
      <w:pPr>
        <w:pStyle w:val="ListParagraph"/>
        <w:numPr>
          <w:ilvl w:val="0"/>
          <w:numId w:val="1"/>
        </w:numPr>
        <w:spacing w:after="100"/>
      </w:pPr>
      <w:r>
        <w:rPr>
          <w:b/>
          <w:bCs/>
        </w:rPr>
        <w:t xml:space="preserve">Why: </w:t>
      </w:r>
      <w:r>
        <w:t xml:space="preserve">Premium's overall risk number is driven almost entirely by their Web transactions (25.47%); other channels look fairly normal for them.</w:t>
      </w:r>
    </w:p>
    <w:p>
      <w:pPr>
        <w:pStyle w:val="ListParagraph"/>
        <w:numPr>
          <w:ilvl w:val="0"/>
          <w:numId w:val="1"/>
        </w:numPr>
        <w:spacing w:after="100"/>
      </w:pPr>
      <w:r>
        <w:rPr>
          <w:b/>
          <w:bCs/>
        </w:rPr>
        <w:t xml:space="preserve">What I'd do instead: </w:t>
      </w:r>
      <w:r>
        <w:t xml:space="preserve">Set up a review rule scoped to that specific combination instead of the whole segment.</w:t>
      </w:r>
    </w:p>
    <w:p>
      <w:pPr>
        <w:pStyle w:val="Heading2"/>
        <w:spacing w:after="150" w:before="300"/>
      </w:pPr>
      <w:r>
        <w:t xml:space="preserve">5. Automate the high-value flag as a review trigger</w:t>
      </w:r>
    </w:p>
    <w:p>
      <w:pPr>
        <w:pStyle w:val="ListParagraph"/>
        <w:numPr>
          <w:ilvl w:val="0"/>
          <w:numId w:val="1"/>
        </w:numPr>
        <w:spacing w:after="100"/>
      </w:pPr>
      <w:r>
        <w:rPr>
          <w:b/>
          <w:bCs/>
        </w:rPr>
        <w:t xml:space="preserve">Why: </w:t>
      </w:r>
      <w:r>
        <w:t xml:space="preserve">It's a validated risk signal (29.5% vs. 18.5%), confirmed two different ways, and a flat amount threshold would miss it for cheaper transaction types.</w:t>
      </w:r>
    </w:p>
    <w:p>
      <w:pPr>
        <w:pStyle w:val="ListParagraph"/>
        <w:numPr>
          <w:ilvl w:val="0"/>
          <w:numId w:val="1"/>
        </w:numPr>
        <w:spacing w:after="100"/>
      </w:pPr>
      <w:r>
        <w:rPr>
          <w:b/>
          <w:bCs/>
        </w:rPr>
        <w:t xml:space="preserve">What I'd do instead: </w:t>
      </w:r>
      <w:r>
        <w:t xml:space="preserve">Wire the existing Is_High_Value flag into the risk-review queue directly, rather than relying on a single fixed Naira amount.</w:t>
      </w:r>
    </w:p>
    <w:p>
      <w:pPr>
        <w:pStyle w:val="Heading1"/>
        <w:spacing w:after="200" w:before="400"/>
      </w:pPr>
      <w:r>
        <w:t xml:space="preserve">Validation &amp; Refinement Requirement</w:t>
      </w:r>
    </w:p>
    <w:p>
      <w:pPr>
        <w:spacing w:after="160"/>
      </w:pPr>
      <w:r>
        <w:t xml:space="preserve">This section walks through something that actually happened while I was building the Week 2 dashboard, not a manufactured example — I think it's a genuinely useful one because it shows how easy it is to introduce an error with a single DAX function and not notice until you're looking closely at the output.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1F4E78" w:val="clear"/>
          </w:tcPr>
          <w:p>
            <w:r>
              <w:rPr>
                <w:b/>
                <w:bCs/>
                <w:color w:val="FFFFFF"/>
                <w:sz w:val="20"/>
                <w:szCs w:val="20"/>
              </w:rPr>
              <w:t xml:space="preserve">Stage</w:t>
            </w:r>
          </w:p>
        </w:tc>
        <w:tc>
          <w:tcPr>
            <w:tcW w:type="dxa" w:w="7150"/>
            <w:shd w:fill="1F4E78" w:val="clear"/>
          </w:tcPr>
          <w:p>
            <w:r>
              <w:rPr>
                <w:b/>
                <w:bCs/>
                <w:color w:val="FFFFFF"/>
                <w:sz w:val="20"/>
                <w:szCs w:val="20"/>
              </w:rPr>
              <w:t xml:space="preserve">What happened</w:t>
            </w:r>
          </w:p>
        </w:tc>
      </w:tr>
      <w:tr>
        <w:tc>
          <w:tcPr>
            <w:tcW w:type="dxa" w:w="2200"/>
          </w:tcPr>
          <w:p>
            <w:r>
              <w:rPr>
                <w:b w:val="false"/>
                <w:bCs w:val="false"/>
                <w:sz w:val="20"/>
                <w:szCs w:val="20"/>
              </w:rPr>
              <w:t xml:space="preserve">Initial Output</w:t>
            </w:r>
          </w:p>
        </w:tc>
        <w:tc>
          <w:tcPr>
            <w:tcW w:type="dxa" w:w="7150"/>
          </w:tcPr>
          <w:p>
            <w:r>
              <w:rPr>
                <w:b w:val="false"/>
                <w:bCs w:val="false"/>
                <w:sz w:val="20"/>
                <w:szCs w:val="20"/>
              </w:rPr>
              <w:t xml:space="preserve">Total transactions = COUNTROWS(ALL('Transactions')) — the measure I'd built for the Week 2 dashboard.</w:t>
            </w:r>
          </w:p>
        </w:tc>
      </w:tr>
      <w:tr>
        <w:tc>
          <w:tcPr>
            <w:tcW w:type="dxa" w:w="2200"/>
          </w:tcPr>
          <w:p>
            <w:r>
              <w:rPr>
                <w:b w:val="false"/>
                <w:bCs w:val="false"/>
                <w:sz w:val="20"/>
                <w:szCs w:val="20"/>
              </w:rPr>
              <w:t xml:space="preserve">Test</w:t>
            </w:r>
          </w:p>
        </w:tc>
        <w:tc>
          <w:tcPr>
            <w:tcW w:type="dxa" w:w="7150"/>
          </w:tcPr>
          <w:p>
            <w:r>
              <w:rPr>
                <w:b w:val="false"/>
                <w:bCs w:val="false"/>
                <w:sz w:val="20"/>
                <w:szCs w:val="20"/>
              </w:rPr>
              <w:t xml:space="preserve">While reviewing the Transaction Status Breakdown chart, I compared the bar values against what I expected the per-status counts to be.</w:t>
            </w:r>
          </w:p>
        </w:tc>
      </w:tr>
      <w:tr>
        <w:tc>
          <w:tcPr>
            <w:tcW w:type="dxa" w:w="2200"/>
          </w:tcPr>
          <w:p>
            <w:r>
              <w:rPr>
                <w:b w:val="false"/>
                <w:bCs w:val="false"/>
                <w:sz w:val="20"/>
                <w:szCs w:val="20"/>
              </w:rPr>
              <w:t xml:space="preserve">Finding</w:t>
            </w:r>
          </w:p>
        </w:tc>
        <w:tc>
          <w:tcPr>
            <w:tcW w:type="dxa" w:w="7150"/>
          </w:tcPr>
          <w:p>
            <w:r>
              <w:rPr>
                <w:b w:val="false"/>
                <w:bCs w:val="false"/>
                <w:sz w:val="20"/>
                <w:szCs w:val="20"/>
              </w:rPr>
              <w:t xml:space="preserve">Every bar showed 12,000, the full dataset total. ALL() had stripped out the chart's own category filter, so instead of counting rows per status, it was just counting everything, every time.</w:t>
            </w:r>
          </w:p>
        </w:tc>
      </w:tr>
      <w:tr>
        <w:tc>
          <w:tcPr>
            <w:tcW w:type="dxa" w:w="2200"/>
          </w:tcPr>
          <w:p>
            <w:r>
              <w:rPr>
                <w:b w:val="false"/>
                <w:bCs w:val="false"/>
                <w:sz w:val="20"/>
                <w:szCs w:val="20"/>
              </w:rPr>
              <w:t xml:space="preserve">Refinement</w:t>
            </w:r>
          </w:p>
        </w:tc>
        <w:tc>
          <w:tcPr>
            <w:tcW w:type="dxa" w:w="7150"/>
          </w:tcPr>
          <w:p>
            <w:r>
              <w:rPr>
                <w:b w:val="false"/>
                <w:bCs w:val="false"/>
                <w:sz w:val="20"/>
                <w:szCs w:val="20"/>
              </w:rPr>
              <w:t xml:space="preserve">Removed ALL(): Total transactions = COUNTROWS('Transactions')</w:t>
            </w:r>
          </w:p>
        </w:tc>
      </w:tr>
      <w:tr>
        <w:tc>
          <w:tcPr>
            <w:tcW w:type="dxa" w:w="2200"/>
          </w:tcPr>
          <w:p>
            <w:r>
              <w:rPr>
                <w:b w:val="false"/>
                <w:bCs w:val="false"/>
                <w:sz w:val="20"/>
                <w:szCs w:val="20"/>
              </w:rPr>
              <w:t xml:space="preserve">Re-test</w:t>
            </w:r>
          </w:p>
        </w:tc>
        <w:tc>
          <w:tcPr>
            <w:tcW w:type="dxa" w:w="7150"/>
          </w:tcPr>
          <w:p>
            <w:r>
              <w:rPr>
                <w:b w:val="false"/>
                <w:bCs w:val="false"/>
                <w:sz w:val="20"/>
                <w:szCs w:val="20"/>
              </w:rPr>
              <w:t xml:space="preserve">Reloaded the visual. Each bar now showed a different number, matching what I'd expect for a status breakdown.</w:t>
            </w:r>
          </w:p>
        </w:tc>
      </w:tr>
      <w:tr>
        <w:tc>
          <w:tcPr>
            <w:tcW w:type="dxa" w:w="2200"/>
          </w:tcPr>
          <w:p>
            <w:r>
              <w:rPr>
                <w:b w:val="false"/>
                <w:bCs w:val="false"/>
                <w:sz w:val="20"/>
                <w:szCs w:val="20"/>
              </w:rPr>
              <w:t xml:space="preserve">Result</w:t>
            </w:r>
          </w:p>
        </w:tc>
        <w:tc>
          <w:tcPr>
            <w:tcW w:type="dxa" w:w="7150"/>
          </w:tcPr>
          <w:p>
            <w:r>
              <w:rPr>
                <w:b w:val="false"/>
                <w:bCs w:val="false"/>
                <w:sz w:val="20"/>
                <w:szCs w:val="20"/>
              </w:rPr>
              <w:t xml:space="preserve">Successful 10,856 (90.47%), Failed 630 (5.25%), Reversed 326 (2.72%), Pending 188 (1.57%) — adds up to 12,000, and the 90.47% matches the separate Transaction Success Rate KPI card exactly, which is what finally convinced me it was fixed properly rather than just 'different.'</w:t>
            </w:r>
          </w:p>
        </w:tc>
      </w:tr>
    </w:tbl>
    <w:p>
      <w:pPr>
        <w:pStyle w:val="Heading1"/>
        <w:spacing w:after="200" w:before="400"/>
      </w:pPr>
      <w:r>
        <w:t xml:space="preserve">Week 3 Project Summary</w:t>
      </w:r>
    </w:p>
    <w:p>
      <w:pPr>
        <w:pStyle w:val="ListParagraph"/>
        <w:numPr>
          <w:ilvl w:val="0"/>
          <w:numId w:val="1"/>
        </w:numPr>
        <w:spacing w:after="100"/>
      </w:pPr>
      <w:r>
        <w:rPr>
          <w:b/>
          <w:bCs/>
        </w:rPr>
        <w:t xml:space="preserve">1. What I planned: </w:t>
      </w:r>
      <w:r>
        <w:t xml:space="preserve">Go back through Week 2, push the SQL and Python analysis further, substantially extend the dashboard, and actually validate the findings instead of just restating them.</w:t>
      </w:r>
    </w:p>
    <w:p>
      <w:pPr>
        <w:pStyle w:val="ListParagraph"/>
        <w:numPr>
          <w:ilvl w:val="0"/>
          <w:numId w:val="1"/>
        </w:numPr>
        <w:spacing w:after="100"/>
      </w:pPr>
      <w:r>
        <w:rPr>
          <w:b/>
          <w:bCs/>
        </w:rPr>
        <w:t xml:space="preserve">2. What I completed: </w:t>
      </w:r>
      <w:r>
        <w:t xml:space="preserve">All of it — 8 more SQL queries using CTEs and window functions, 6 new Python analyses, and a dashboard that now has a high-value risk KPI, a weekday trend chart, a second heatmap, a working bookmark toggle, and real drill-down on the trend line.</w:t>
      </w:r>
    </w:p>
    <w:p>
      <w:pPr>
        <w:pStyle w:val="ListParagraph"/>
        <w:numPr>
          <w:ilvl w:val="0"/>
          <w:numId w:val="1"/>
        </w:numPr>
        <w:spacing w:after="100"/>
      </w:pPr>
      <w:r>
        <w:rPr>
          <w:b/>
          <w:bCs/>
        </w:rPr>
        <w:t xml:space="preserve">3. Main development work: </w:t>
      </w:r>
      <w:r>
        <w:t xml:space="preserve">Learning to actually use window functions and CTEs properly in SQL rather than just single-table queries; running a real statistical test (ANOVA) instead of eyeballing a scatter plot; building my first interactive Power BI element (the bookmark toggle).</w:t>
      </w:r>
    </w:p>
    <w:p>
      <w:pPr>
        <w:pStyle w:val="ListParagraph"/>
        <w:numPr>
          <w:ilvl w:val="0"/>
          <w:numId w:val="1"/>
        </w:numPr>
        <w:spacing w:after="100"/>
      </w:pPr>
      <w:r>
        <w:rPr>
          <w:b/>
          <w:bCs/>
        </w:rPr>
        <w:t xml:space="preserve">4. Key findings: </w:t>
      </w:r>
      <w:r>
        <w:t xml:space="preserve">The February dip wasn't real. Engagement score genuinely doesn't predict activity. The channel and segment problems I thought I understood in Week 2 turned out to be more specific than I'd realized once I crossed the two variables.</w:t>
      </w:r>
    </w:p>
    <w:p>
      <w:pPr>
        <w:pStyle w:val="ListParagraph"/>
        <w:numPr>
          <w:ilvl w:val="0"/>
          <w:numId w:val="1"/>
        </w:numPr>
        <w:spacing w:after="100"/>
      </w:pPr>
      <w:r>
        <w:rPr>
          <w:b/>
          <w:bCs/>
        </w:rPr>
        <w:t xml:space="preserve">5. Testing/validation performed: </w:t>
      </w:r>
      <w:r>
        <w:t xml:space="preserve">ANOVA for the engagement question, cross-checking the high-value/risk relationship in both SQL and Python separately, and catching the measure bug by manually checking a chart against expected totals.</w:t>
      </w:r>
    </w:p>
    <w:p>
      <w:pPr>
        <w:pStyle w:val="ListParagraph"/>
        <w:numPr>
          <w:ilvl w:val="0"/>
          <w:numId w:val="1"/>
        </w:numPr>
        <w:spacing w:after="100"/>
      </w:pPr>
      <w:r>
        <w:rPr>
          <w:b/>
          <w:bCs/>
        </w:rPr>
        <w:t xml:space="preserve">6. Improvements made: </w:t>
      </w:r>
      <w:r>
        <w:t xml:space="preserve">Fixed the broken measure, moved from single-variable to combination-level analysis for both channel and segment, and replaced a somewhat arbitrary outlier rule with one I could actually defend with a risk-rate comparison.</w:t>
      </w:r>
    </w:p>
    <w:p>
      <w:pPr>
        <w:pStyle w:val="ListParagraph"/>
        <w:numPr>
          <w:ilvl w:val="0"/>
          <w:numId w:val="1"/>
        </w:numPr>
        <w:spacing w:after="100"/>
      </w:pPr>
      <w:r>
        <w:rPr>
          <w:b/>
          <w:bCs/>
        </w:rPr>
        <w:t xml:space="preserve">7. Biggest challenge: </w:t>
      </w:r>
      <w:r>
        <w:t xml:space="preserve">The same date-parsing bug kept showing up — Excel, then Postgres, then Power BI all misread the same column the same way. Fixing it three separate times was repetitive, but it also made me actually understand why it kept happening instead of just patching around it once.</w:t>
      </w:r>
    </w:p>
    <w:p>
      <w:pPr>
        <w:pStyle w:val="ListParagraph"/>
        <w:numPr>
          <w:ilvl w:val="0"/>
          <w:numId w:val="1"/>
        </w:numPr>
        <w:spacing w:after="100"/>
      </w:pPr>
      <w:r>
        <w:rPr>
          <w:b/>
          <w:bCs/>
        </w:rPr>
        <w:t xml:space="preserve">8. Decisions I made: </w:t>
      </w:r>
      <w:r>
        <w:t xml:space="preserve">Decided to run an actual statistical test rather than trust a chart by eye, and decided the combination-level analysis was worth the extra charts even though it made the dashboard busier — the single-variable view was genuinely hiding things.</w:t>
      </w:r>
    </w:p>
    <w:p>
      <w:pPr>
        <w:pStyle w:val="ListParagraph"/>
        <w:numPr>
          <w:ilvl w:val="0"/>
          <w:numId w:val="1"/>
        </w:numPr>
        <w:spacing w:after="100"/>
      </w:pPr>
      <w:r>
        <w:rPr>
          <w:b/>
          <w:bCs/>
        </w:rPr>
        <w:t xml:space="preserve">9. What's still limited: </w:t>
      </w:r>
      <w:r>
        <w:t xml:space="preserve">Risk_Review_Flag is still a synthetic label, not a real outcome, so none of this validates an actual fraud model. Three months of data also isn't enough to say much about real seasonality.</w:t>
      </w:r>
    </w:p>
    <w:p>
      <w:pPr>
        <w:pStyle w:val="ListParagraph"/>
        <w:numPr>
          <w:ilvl w:val="0"/>
          <w:numId w:val="1"/>
        </w:numPr>
        <w:spacing w:after="100"/>
      </w:pPr>
      <w:r>
        <w:rPr>
          <w:b/>
          <w:bCs/>
        </w:rPr>
        <w:t xml:space="preserve">10. Left for Week 4: </w:t>
      </w:r>
      <w:r>
        <w:t xml:space="preserve">Final refinement and testing, pulling all the documentation together, and getting the dashboard presentation-ready.</w:t>
      </w:r>
    </w:p>
    <w:p>
      <w:pPr>
        <w:pStyle w:val="ListParagraph"/>
        <w:numPr>
          <w:ilvl w:val="0"/>
          <w:numId w:val="1"/>
        </w:numPr>
        <w:spacing w:after="100"/>
      </w:pPr>
      <w:r>
        <w:rPr>
          <w:b/>
          <w:bCs/>
        </w:rPr>
        <w:t xml:space="preserve">11. Priorities going into the final week: </w:t>
      </w:r>
      <w:r>
        <w:t xml:space="preserve">Polish the dashboard so it reads well to someone seeing it cold, double-check every number one more time, and put together a clear walkthrough of what I found and why it matters.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2026-10-04T20:14:45.900Z</dcterms:created>
  <dcterms:modified xsi:type="dcterms:W3CDTF">2026-10-04T20:14:45.900Z</dcterms:modified>
</cp:coreProperties>
</file>

<file path=docProps/custom.xml><?xml version="1.0" encoding="utf-8"?>
<Properties xmlns="http://schemas.openxmlformats.org/officeDocument/2006/custom-properties" xmlns:vt="http://schemas.openxmlformats.org/officeDocument/2006/docPropsVTypes"/>
</file>