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8"/>
          <w:sz w:val="36"/>
          <w:szCs w:val="36"/>
        </w:rPr>
        <w:t xml:space="preserve">FinTrust Digital Bank — Week 4 Final Insights &amp; Validation</w:t>
      </w:r>
    </w:p>
    <w:p>
      <w:pPr>
        <w:spacing w:after="60"/>
      </w:pPr>
      <w:r>
        <w:rPr>
          <w:color w:val="595959"/>
          <w:sz w:val="22"/>
          <w:szCs w:val="22"/>
        </w:rPr>
        <w:t xml:space="preserve">Data Analytics Track | AnalystLab Africa Experience Lab Internship Programme</w:t>
      </w:r>
    </w:p>
    <w:p>
      <w:pPr>
        <w:spacing w:after="300"/>
      </w:pPr>
      <w:r>
        <w:rPr>
          <w:color w:val="595959"/>
          <w:sz w:val="22"/>
          <w:szCs w:val="22"/>
        </w:rPr>
        <w:t xml:space="preserve">Olabisi Amusan</w:t>
      </w:r>
    </w:p>
    <w:p>
      <w:pPr>
        <w:spacing w:after="160"/>
      </w:pPr>
      <w:r>
        <w:t xml:space="preserve">This covers Parts D and E of the Week 4 assignment, the final business insights and the final validation of my findings, along with the worked testing example the brief asks for in Section 9.</w:t>
      </w:r>
    </w:p>
    <w:p>
      <w:pPr>
        <w:spacing w:after="160"/>
      </w:pPr>
      <w:r>
        <w:t xml:space="preserve">One thing first. In Week 3 I called several findings validated when all I had done was cross two variables and read off the highest or lowest number in the grid. That isn't a test. This week I put every major finding through a proper significance test, and four of my Week 3 conclusions didn't hold up the way I had written them. The strong findings survived. The weak ones are downgraded below, and Part E explains each change. The insights in Part D are written from the corrected picture.</w:t>
      </w:r>
    </w:p>
    <w:p>
      <w:pPr>
        <w:pStyle w:val="Heading1"/>
        <w:spacing w:after="200" w:before="400"/>
      </w:pPr>
      <w:r>
        <w:t xml:space="preserve">Part D — Final Business Insights</w:t>
      </w:r>
    </w:p>
    <w:p>
      <w:pPr>
        <w:spacing w:after="160"/>
      </w:pPr>
      <w:r>
        <w:t xml:space="preserve">Five insights, each ending in something FinTrust could actually do. Where the evidence is thinner than the dashboard makes it look, I've said so.</w:t>
      </w:r>
    </w:p>
    <w:p>
      <w:pPr>
        <w:pStyle w:val="Heading2"/>
        <w:spacing w:after="150" w:before="300"/>
      </w:pPr>
      <w:r>
        <w:t xml:space="preserve">1. International transactions are flagged about twice as often as domestic ones</w:t>
      </w:r>
    </w:p>
    <w:p>
      <w:pPr>
        <w:pStyle w:val="ListParagraph"/>
        <w:numPr>
          <w:ilvl w:val="0"/>
          <w:numId w:val="1"/>
        </w:numPr>
        <w:spacing w:after="100"/>
      </w:pPr>
      <w:r>
        <w:rPr>
          <w:b/>
          <w:bCs/>
        </w:rPr>
        <w:t xml:space="preserve">Finding: </w:t>
      </w:r>
      <w:r>
        <w:t xml:space="preserve">Cross-border transactions carry a risk-review flag far more often than domestic ones, and the gap appears in every customer segment.</w:t>
      </w:r>
    </w:p>
    <w:p>
      <w:pPr>
        <w:pStyle w:val="ListParagraph"/>
        <w:numPr>
          <w:ilvl w:val="0"/>
          <w:numId w:val="1"/>
        </w:numPr>
        <w:spacing w:after="100"/>
      </w:pPr>
      <w:r>
        <w:rPr>
          <w:b/>
          <w:bCs/>
        </w:rPr>
        <w:t xml:space="preserve">Evidence: </w:t>
      </w:r>
      <w:r>
        <w:t xml:space="preserve">177 of 480 international transactions were flagged (36.9%), against 2,175 of 11,520 domestic ones (18.9%); p &lt; 0.001. By segment, the international rate runs from 33.3% (Student) to 40.6% (SME), while the domestic rate stays between 18.6% and 19.6%.</w:t>
      </w:r>
    </w:p>
    <w:p>
      <w:pPr>
        <w:pStyle w:val="ListParagraph"/>
        <w:numPr>
          <w:ilvl w:val="0"/>
          <w:numId w:val="1"/>
        </w:numPr>
        <w:spacing w:after="100"/>
      </w:pPr>
      <w:r>
        <w:rPr>
          <w:b/>
          <w:bCs/>
        </w:rPr>
        <w:t xml:space="preserve">Business Meaning: </w:t>
      </w:r>
      <w:r>
        <w:t xml:space="preserve">This is the biggest difference in flag rates I found, and it doesn't depend on which segment the customer belongs to. International transactions are also uncommon: 4% of volume, roughly 160 a month.</w:t>
      </w:r>
    </w:p>
    <w:p>
      <w:pPr>
        <w:pStyle w:val="ListParagraph"/>
        <w:numPr>
          <w:ilvl w:val="0"/>
          <w:numId w:val="1"/>
        </w:numPr>
        <w:spacing w:after="100"/>
      </w:pPr>
      <w:r>
        <w:rPr>
          <w:b/>
          <w:bCs/>
        </w:rPr>
        <w:t xml:space="preserve">Recommended Action: </w:t>
      </w:r>
      <w:r>
        <w:t xml:space="preserve">Route international transactions through enhanced review by default. At roughly 160 a month the extra workload looks manageable, though that figure comes from only three months of data.</w:t>
      </w:r>
    </w:p>
    <w:p>
      <w:pPr>
        <w:pStyle w:val="Heading2"/>
        <w:spacing w:after="150" w:before="300"/>
      </w:pPr>
      <w:r>
        <w:t xml:space="preserve">2. High-value transactions are flagged more often, and it isn't just an international effect</w:t>
      </w:r>
    </w:p>
    <w:p>
      <w:pPr>
        <w:pStyle w:val="ListParagraph"/>
        <w:numPr>
          <w:ilvl w:val="0"/>
          <w:numId w:val="1"/>
        </w:numPr>
        <w:spacing w:after="100"/>
      </w:pPr>
      <w:r>
        <w:rPr>
          <w:b/>
          <w:bCs/>
        </w:rPr>
        <w:t xml:space="preserve">Finding: </w:t>
      </w:r>
      <w:r>
        <w:t xml:space="preserve">Transactions in the top 10% of value for their own type are flagged noticeably more often than the rest.</w:t>
      </w:r>
    </w:p>
    <w:p>
      <w:pPr>
        <w:pStyle w:val="ListParagraph"/>
        <w:numPr>
          <w:ilvl w:val="0"/>
          <w:numId w:val="1"/>
        </w:numPr>
        <w:spacing w:after="100"/>
      </w:pPr>
      <w:r>
        <w:rPr>
          <w:b/>
          <w:bCs/>
        </w:rPr>
        <w:t xml:space="preserve">Evidence: </w:t>
      </w:r>
      <w:r>
        <w:t xml:space="preserve">355 of 1,202 high-value transactions were flagged (29.5%), against 1,997 of 10,798 others (18.5%); p &lt; 0.001. I checked whether this was just international transactions landing in the high-value group, and it isn't. Among domestic transactions the rates are 28.6% against 17.8% (p &lt; 0.001). Among international ones they are 53.5% against 35.2% (p = 0.018), though only 43 of those are high-value.</w:t>
      </w:r>
    </w:p>
    <w:p>
      <w:pPr>
        <w:pStyle w:val="ListParagraph"/>
        <w:numPr>
          <w:ilvl w:val="0"/>
          <w:numId w:val="1"/>
        </w:numPr>
        <w:spacing w:after="100"/>
      </w:pPr>
      <w:r>
        <w:rPr>
          <w:b/>
          <w:bCs/>
        </w:rPr>
        <w:t xml:space="preserve">Business Meaning: </w:t>
      </w:r>
      <w:r>
        <w:t xml:space="preserve">Value and international status each raise the flag rate on their own. Measuring "high" against each type's own distribution matters, because typical amounts vary so much by type: the median Deposit is ₦22,094, while the median Airtime/Data transaction is ₦2,494. One flat Naira threshold would catch far more deposits than airtime top-ups, whatever their relative risk.</w:t>
      </w:r>
    </w:p>
    <w:p>
      <w:pPr>
        <w:pStyle w:val="ListParagraph"/>
        <w:numPr>
          <w:ilvl w:val="0"/>
          <w:numId w:val="1"/>
        </w:numPr>
        <w:spacing w:after="100"/>
      </w:pPr>
      <w:r>
        <w:rPr>
          <w:b/>
          <w:bCs/>
        </w:rPr>
        <w:t xml:space="preserve">Recommended Action: </w:t>
      </w:r>
      <w:r>
        <w:t xml:space="preserve">Use each type's top-10% flag as a trigger for the review queue instead of a single fixed amount. The Is_High_Value flag in the Power BI model already does this.</w:t>
      </w:r>
    </w:p>
    <w:p>
      <w:pPr>
        <w:pStyle w:val="Heading2"/>
        <w:spacing w:after="150" w:before="300"/>
      </w:pPr>
      <w:r>
        <w:t xml:space="preserve">3. Segment doesn't explain risk-review rates, and Premium on Web is a watchlist item rather than a finding</w:t>
      </w:r>
    </w:p>
    <w:p>
      <w:pPr>
        <w:pStyle w:val="ListParagraph"/>
        <w:numPr>
          <w:ilvl w:val="0"/>
          <w:numId w:val="1"/>
        </w:numPr>
        <w:spacing w:after="100"/>
      </w:pPr>
      <w:r>
        <w:rPr>
          <w:b/>
          <w:bCs/>
        </w:rPr>
        <w:t xml:space="preserve">Finding: </w:t>
      </w:r>
      <w:r>
        <w:t xml:space="preserve">Risk-review rates are essentially the same across the four customer segments. One segment-and-channel cell, Premium on Web, looks high, but the evidence isn't strong enough to act on.</w:t>
      </w:r>
    </w:p>
    <w:p>
      <w:pPr>
        <w:pStyle w:val="ListParagraph"/>
        <w:numPr>
          <w:ilvl w:val="0"/>
          <w:numId w:val="1"/>
        </w:numPr>
        <w:spacing w:after="100"/>
      </w:pPr>
      <w:r>
        <w:rPr>
          <w:b/>
          <w:bCs/>
        </w:rPr>
        <w:t xml:space="preserve">Evidence: </w:t>
      </w:r>
      <w:r>
        <w:t xml:space="preserve">Segment rates run from 19.29% (Everyday) to 20.33% (Premium), and a chi-square test finds no real difference (p = 0.751). Premium customers on Web were flagged 25.48% of the time (92 of 361), which stands out against the 19.60% overall. But it is the highest of 20 segment-channel cells, and the top of any 20 will look extreme. I simulated 20,000 random datasets with the same cell sizes and the same overall flag rate. Chance alone produced a cell at least that high about 14% of the time.</w:t>
      </w:r>
    </w:p>
    <w:p>
      <w:pPr>
        <w:pStyle w:val="ListParagraph"/>
        <w:numPr>
          <w:ilvl w:val="0"/>
          <w:numId w:val="1"/>
        </w:numPr>
        <w:spacing w:after="100"/>
      </w:pPr>
      <w:r>
        <w:rPr>
          <w:b/>
          <w:bCs/>
        </w:rPr>
        <w:t xml:space="preserve">Business Meaning: </w:t>
      </w:r>
      <w:r>
        <w:t xml:space="preserve">The data doesn't support treating any customer segment as riskier than another. Premium on Web might be worth watching, but it could just as easily be noise.</w:t>
      </w:r>
    </w:p>
    <w:p>
      <w:pPr>
        <w:pStyle w:val="ListParagraph"/>
        <w:numPr>
          <w:ilvl w:val="0"/>
          <w:numId w:val="1"/>
        </w:numPr>
        <w:spacing w:after="100"/>
      </w:pPr>
      <w:r>
        <w:rPr>
          <w:b/>
          <w:bCs/>
        </w:rPr>
        <w:t xml:space="preserve">Recommended Action: </w:t>
      </w:r>
      <w:r>
        <w:t xml:space="preserve">Don't build segment-based review rules from this data. Keep Premium on Web on a watchlist and test it again when more months of data are available. If it stays near 25%, it moves from a watchlist item to a finding.</w:t>
      </w:r>
    </w:p>
    <w:p>
      <w:pPr>
        <w:pStyle w:val="Heading2"/>
        <w:spacing w:after="150" w:before="300"/>
      </w:pPr>
      <w:r>
        <w:t xml:space="preserve">4. Failed and reversed transactions are a platform-wide problem, not one channel's</w:t>
      </w:r>
    </w:p>
    <w:p>
      <w:pPr>
        <w:pStyle w:val="ListParagraph"/>
        <w:numPr>
          <w:ilvl w:val="0"/>
          <w:numId w:val="1"/>
        </w:numPr>
        <w:spacing w:after="100"/>
      </w:pPr>
      <w:r>
        <w:rPr>
          <w:b/>
          <w:bCs/>
        </w:rPr>
        <w:t xml:space="preserve">Finding: </w:t>
      </w:r>
      <w:r>
        <w:t xml:space="preserve">Roughly 8% of transactions fail or are reversed, and the differences between channels are too small to blame any one of them.</w:t>
      </w:r>
    </w:p>
    <w:p>
      <w:pPr>
        <w:pStyle w:val="ListParagraph"/>
        <w:numPr>
          <w:ilvl w:val="0"/>
          <w:numId w:val="1"/>
        </w:numPr>
        <w:spacing w:after="100"/>
      </w:pPr>
      <w:r>
        <w:rPr>
          <w:b/>
          <w:bCs/>
        </w:rPr>
        <w:t xml:space="preserve">Evidence: </w:t>
      </w:r>
      <w:r>
        <w:t xml:space="preserve">90.47% of transactions succeed. 956 (7.97%) failed or were reversed (630 failed, 326 reversed), and a further 188 (1.57%) are still pending. Mobile App has the lowest success rate (89.75%) against 91.00% for the other channels, and it handles 42.52% of all volume. But across all five channels the differences are not statistically clear (p = 0.143). If Mobile App matched the other channels, about 64 more of its transactions would have succeeded over the three months.</w:t>
      </w:r>
    </w:p>
    <w:p>
      <w:pPr>
        <w:pStyle w:val="ListParagraph"/>
        <w:numPr>
          <w:ilvl w:val="0"/>
          <w:numId w:val="1"/>
        </w:numPr>
        <w:spacing w:after="100"/>
      </w:pPr>
      <w:r>
        <w:rPr>
          <w:b/>
          <w:bCs/>
        </w:rPr>
        <w:t xml:space="preserve">Business Meaning: </w:t>
      </w:r>
      <w:r>
        <w:t xml:space="preserve">The overall failure and reversal rate is the bigger issue. A fix aimed only at Mobile App would address a gap worth about 64 transactions, while failures show up at broadly similar rates on every channel.</w:t>
      </w:r>
    </w:p>
    <w:p>
      <w:pPr>
        <w:pStyle w:val="ListParagraph"/>
        <w:numPr>
          <w:ilvl w:val="0"/>
          <w:numId w:val="1"/>
        </w:numPr>
        <w:spacing w:after="100"/>
      </w:pPr>
      <w:r>
        <w:rPr>
          <w:b/>
          <w:bCs/>
        </w:rPr>
        <w:t xml:space="preserve">Recommended Action: </w:t>
      </w:r>
      <w:r>
        <w:t xml:space="preserve">Look into failure causes across the whole platform (error codes, timeouts, reversal reasons), starting with Mobile App because of its volume and slightly lower rate. Keep the failed-or-reversed rate on the dashboard as a standing KPI.</w:t>
      </w:r>
    </w:p>
    <w:p>
      <w:pPr>
        <w:pStyle w:val="Heading2"/>
        <w:spacing w:after="150" w:before="300"/>
      </w:pPr>
      <w:r>
        <w:t xml:space="preserve">5. Nothing in the customer profile I tested explains how often someone transacts</w:t>
      </w:r>
    </w:p>
    <w:p>
      <w:pPr>
        <w:pStyle w:val="ListParagraph"/>
        <w:numPr>
          <w:ilvl w:val="0"/>
          <w:numId w:val="1"/>
        </w:numPr>
        <w:spacing w:after="100"/>
      </w:pPr>
      <w:r>
        <w:rPr>
          <w:b/>
          <w:bCs/>
        </w:rPr>
        <w:t xml:space="preserve">Finding: </w:t>
      </w:r>
      <w:r>
        <w:t xml:space="preserve">Customers transact at about the same rate whatever their engagement score, tenure, income band, age, account type or segment.</w:t>
      </w:r>
    </w:p>
    <w:p>
      <w:pPr>
        <w:pStyle w:val="ListParagraph"/>
        <w:numPr>
          <w:ilvl w:val="0"/>
          <w:numId w:val="1"/>
        </w:numPr>
        <w:spacing w:after="100"/>
      </w:pPr>
      <w:r>
        <w:rPr>
          <w:b/>
          <w:bCs/>
        </w:rPr>
        <w:t xml:space="preserve">Evidence: </w:t>
      </w:r>
      <w:r>
        <w:t xml:space="preserve">Customers averaged 8.0 transactions each over the three months. None of the six attributes shows a significant relationship with transaction count: digital engagement score (correlation 0.038; ANOVA across quartiles, p = 0.238), tenure (correlation −0.005, p = 0.839), age (correlation −0.002, p = 0.936), monthly income band (p = 0.262), account type (p = 0.994) and customer segment (p = 0.483).</w:t>
      </w:r>
    </w:p>
    <w:p>
      <w:pPr>
        <w:pStyle w:val="ListParagraph"/>
        <w:numPr>
          <w:ilvl w:val="0"/>
          <w:numId w:val="1"/>
        </w:numPr>
        <w:spacing w:after="100"/>
      </w:pPr>
      <w:r>
        <w:rPr>
          <w:b/>
          <w:bCs/>
        </w:rPr>
        <w:t xml:space="preserve">Business Meaning: </w:t>
      </w:r>
      <w:r>
        <w:t xml:space="preserve">A campaign aimed at highly engaged, long-standing or higher-income customers, on the assumption that they transact more, would have nothing in this data behind it.</w:t>
      </w:r>
    </w:p>
    <w:p>
      <w:pPr>
        <w:pStyle w:val="ListParagraph"/>
        <w:numPr>
          <w:ilvl w:val="0"/>
          <w:numId w:val="1"/>
        </w:numPr>
        <w:spacing w:after="100"/>
      </w:pPr>
      <w:r>
        <w:rPr>
          <w:b/>
          <w:bCs/>
        </w:rPr>
        <w:t xml:space="preserve">Recommended Action: </w:t>
      </w:r>
      <w:r>
        <w:t xml:space="preserve">Don't use these attributes to target campaigns meant to raise activity. If FinTrust wants to understand what drives activity, it will need behavioural data this dataset doesn't include, such as product usage or app sessions.</w:t>
      </w:r>
    </w:p>
    <w:p>
      <w:pPr>
        <w:pStyle w:val="Heading1"/>
        <w:spacing w:after="200" w:before="400"/>
      </w:pPr>
      <w:r>
        <w:t xml:space="preserve">Part E — Final Validation</w:t>
      </w:r>
    </w:p>
    <w:p>
      <w:pPr>
        <w:spacing w:after="160"/>
      </w:pPr>
      <w:r>
        <w:t xml:space="preserve">For each finding below I've set out the claim, how I tested it, what came back, and where I ended up. Two kinds of comparison run through most of them. To compare two rates, such as flagged against not flagged, or one group against everyone else, I used a chi-square test, which asks whether the gap is bigger than random variation would normally produce. To compare averages across several groups I used a one-way ANOVA, and for two numeric columns a correlation. I treated p below 0.05 as statistically clear.</w:t>
      </w:r>
    </w:p>
    <w:p>
      <w:pPr>
        <w:pStyle w:val="Heading2"/>
        <w:spacing w:after="150" w:before="300"/>
      </w:pPr>
      <w:r>
        <w:t xml:space="preserve">Findings that changed after validation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50"/>
      </w:tblGrid>
      <w:tr>
        <w:tc>
          <w:tcPr>
            <w:tcW w:type="dxa" w:w="3000"/>
            <w:shd w:fill="1F4E78" w:val="clear"/>
          </w:tcPr>
          <w:p>
            <w:r>
              <w:rPr>
                <w:b/>
                <w:bCs/>
                <w:color w:val="FFFFFF"/>
                <w:sz w:val="20"/>
                <w:szCs w:val="20"/>
              </w:rPr>
              <w:t xml:space="preserve">Finding</w:t>
            </w:r>
          </w:p>
        </w:tc>
        <w:tc>
          <w:tcPr>
            <w:tcW w:type="dxa" w:w="2000"/>
            <w:shd w:fill="1F4E78" w:val="clear"/>
          </w:tcPr>
          <w:p>
            <w:r>
              <w:rPr>
                <w:b/>
                <w:bCs/>
                <w:color w:val="FFFFFF"/>
                <w:sz w:val="20"/>
                <w:szCs w:val="20"/>
              </w:rPr>
              <w:t xml:space="preserve">What I said in Week 3</w:t>
            </w:r>
          </w:p>
        </w:tc>
        <w:tc>
          <w:tcPr>
            <w:tcW w:type="dxa" w:w="4350"/>
            <w:shd w:fill="1F4E78" w:val="clear"/>
          </w:tcPr>
          <w:p>
            <w:r>
              <w:rPr>
                <w:b/>
                <w:bCs/>
                <w:color w:val="FFFFFF"/>
                <w:sz w:val="20"/>
                <w:szCs w:val="20"/>
              </w:rPr>
              <w:t xml:space="preserve">After validation</w:t>
            </w:r>
          </w:p>
        </w:tc>
      </w:tr>
      <w:tr>
        <w:tc>
          <w:tcPr>
            <w:tcW w:type="dxa" w:w="3000"/>
          </w:tcPr>
          <w:p>
            <w:r>
              <w:rPr>
                <w:b w:val="false"/>
                <w:bCs w:val="false"/>
                <w:sz w:val="20"/>
                <w:szCs w:val="20"/>
              </w:rPr>
              <w:t xml:space="preserve">Mobile App is the least reliable channel</w:t>
            </w:r>
          </w:p>
        </w:tc>
        <w:tc>
          <w:tcPr>
            <w:tcW w:type="dxa" w:w="2000"/>
          </w:tcPr>
          <w:p>
            <w:r>
              <w:rPr>
                <w:b w:val="false"/>
                <w:bCs w:val="false"/>
                <w:sz w:val="20"/>
                <w:szCs w:val="20"/>
              </w:rPr>
              <w:t xml:space="preserve">Validated and sharpened</w:t>
            </w:r>
          </w:p>
        </w:tc>
        <w:tc>
          <w:tcPr>
            <w:tcW w:type="dxa" w:w="4350"/>
          </w:tcPr>
          <w:p>
            <w:r>
              <w:rPr>
                <w:b w:val="false"/>
                <w:bCs w:val="false"/>
                <w:sz w:val="20"/>
                <w:szCs w:val="20"/>
              </w:rPr>
              <w:t xml:space="preserve">Weakened. Lowest of the five, but only 1.25 points below the rest, and the five channels together are not significantly different (p = 0.143).</w:t>
            </w:r>
          </w:p>
        </w:tc>
      </w:tr>
      <w:tr>
        <w:tc>
          <w:tcPr>
            <w:tcW w:type="dxa" w:w="3000"/>
          </w:tcPr>
          <w:p>
            <w:r>
              <w:rPr>
                <w:b w:val="false"/>
                <w:bCs w:val="false"/>
                <w:sz w:val="20"/>
                <w:szCs w:val="20"/>
              </w:rPr>
              <w:t xml:space="preserve">Premium customers carry the highest risk-review exposure</w:t>
            </w:r>
          </w:p>
        </w:tc>
        <w:tc>
          <w:tcPr>
            <w:tcW w:type="dxa" w:w="2000"/>
          </w:tcPr>
          <w:p>
            <w:r>
              <w:rPr>
                <w:b w:val="false"/>
                <w:bCs w:val="false"/>
                <w:sz w:val="20"/>
                <w:szCs w:val="20"/>
              </w:rPr>
              <w:t xml:space="preserve">Validated and sharpened</w:t>
            </w:r>
          </w:p>
        </w:tc>
        <w:tc>
          <w:tcPr>
            <w:tcW w:type="dxa" w:w="4350"/>
          </w:tcPr>
          <w:p>
            <w:r>
              <w:rPr>
                <w:b w:val="false"/>
                <w:bCs w:val="false"/>
                <w:sz w:val="20"/>
                <w:szCs w:val="20"/>
              </w:rPr>
              <w:t xml:space="preserve">Not supported. Segment rates run from 19.29% to 20.33% (p = 0.751).</w:t>
            </w:r>
          </w:p>
        </w:tc>
      </w:tr>
      <w:tr>
        <w:tc>
          <w:tcPr>
            <w:tcW w:type="dxa" w:w="3000"/>
          </w:tcPr>
          <w:p>
            <w:r>
              <w:rPr>
                <w:b w:val="false"/>
                <w:bCs w:val="false"/>
                <w:sz w:val="20"/>
                <w:szCs w:val="20"/>
              </w:rPr>
              <w:t xml:space="preserve">Student customers on Web are the weakest success pairing</w:t>
            </w:r>
          </w:p>
        </w:tc>
        <w:tc>
          <w:tcPr>
            <w:tcW w:type="dxa" w:w="2000"/>
          </w:tcPr>
          <w:p>
            <w:r>
              <w:rPr>
                <w:b w:val="false"/>
                <w:bCs w:val="false"/>
                <w:sz w:val="20"/>
                <w:szCs w:val="20"/>
              </w:rPr>
              <w:t xml:space="preserve">Validated and sharpened</w:t>
            </w:r>
          </w:p>
        </w:tc>
        <w:tc>
          <w:tcPr>
            <w:tcW w:type="dxa" w:w="4350"/>
          </w:tcPr>
          <w:p>
            <w:r>
              <w:rPr>
                <w:b w:val="false"/>
                <w:bCs w:val="false"/>
                <w:sz w:val="20"/>
                <w:szCs w:val="20"/>
              </w:rPr>
              <w:t xml:space="preserve">Not supported. Consistent with chance (p = 0.120).</w:t>
            </w:r>
          </w:p>
        </w:tc>
      </w:tr>
      <w:tr>
        <w:tc>
          <w:tcPr>
            <w:tcW w:type="dxa" w:w="3000"/>
          </w:tcPr>
          <w:p>
            <w:r>
              <w:rPr>
                <w:b w:val="false"/>
                <w:bCs w:val="false"/>
                <w:sz w:val="20"/>
                <w:szCs w:val="20"/>
              </w:rPr>
              <w:t xml:space="preserve">Premium on Web is the risk hotspot</w:t>
            </w:r>
          </w:p>
        </w:tc>
        <w:tc>
          <w:tcPr>
            <w:tcW w:type="dxa" w:w="2000"/>
          </w:tcPr>
          <w:p>
            <w:r>
              <w:rPr>
                <w:b w:val="false"/>
                <w:bCs w:val="false"/>
                <w:sz w:val="20"/>
                <w:szCs w:val="20"/>
              </w:rPr>
              <w:t xml:space="preserve">Validated and sharpened</w:t>
            </w:r>
          </w:p>
        </w:tc>
        <w:tc>
          <w:tcPr>
            <w:tcW w:type="dxa" w:w="4350"/>
          </w:tcPr>
          <w:p>
            <w:r>
              <w:rPr>
                <w:b w:val="false"/>
                <w:bCs w:val="false"/>
                <w:sz w:val="20"/>
                <w:szCs w:val="20"/>
              </w:rPr>
              <w:t xml:space="preserve">Downgraded to a watchlist item.</w:t>
            </w:r>
          </w:p>
        </w:tc>
      </w:tr>
    </w:tbl>
    <w:p>
      <w:pPr>
        <w:spacing w:after="160"/>
      </w:pPr>
      <w:r>
        <w:t xml:space="preserve"/>
      </w:r>
    </w:p>
    <w:p>
      <w:pPr>
        <w:spacing w:after="160"/>
      </w:pPr>
      <w:r>
        <w:t xml:space="preserve">The February dip was already withdrawn in Week 3, and the international, high-value and engagement findings held up. The details for all eight findings follow.</w:t>
      </w:r>
    </w:p>
    <w:p>
      <w:pPr>
        <w:pStyle w:val="Heading2"/>
        <w:spacing w:after="150" w:before="300"/>
      </w:pPr>
      <w:r>
        <w:t xml:space="preserve">1. International transactions have a higher risk-review rate</w:t>
      </w:r>
    </w:p>
    <w:p>
      <w:pPr>
        <w:pStyle w:val="ListParagraph"/>
        <w:numPr>
          <w:ilvl w:val="0"/>
          <w:numId w:val="1"/>
        </w:numPr>
        <w:spacing w:after="100"/>
      </w:pPr>
      <w:r>
        <w:rPr>
          <w:b/>
          <w:bCs/>
        </w:rPr>
        <w:t xml:space="preserve">Finding: </w:t>
      </w:r>
      <w:r>
        <w:t xml:space="preserve">International transactions are flagged for review more often than domestic ones.</w:t>
      </w:r>
    </w:p>
    <w:p>
      <w:pPr>
        <w:pStyle w:val="ListParagraph"/>
        <w:numPr>
          <w:ilvl w:val="0"/>
          <w:numId w:val="1"/>
        </w:numPr>
        <w:spacing w:after="100"/>
      </w:pPr>
      <w:r>
        <w:rPr>
          <w:b/>
          <w:bCs/>
        </w:rPr>
        <w:t xml:space="preserve">Validation Method: </w:t>
      </w:r>
      <w:r>
        <w:t xml:space="preserve">Chi-square test on the flagged rates, then the same comparison inside each customer segment.</w:t>
      </w:r>
    </w:p>
    <w:p>
      <w:pPr>
        <w:pStyle w:val="ListParagraph"/>
        <w:numPr>
          <w:ilvl w:val="0"/>
          <w:numId w:val="1"/>
        </w:numPr>
        <w:spacing w:after="100"/>
      </w:pPr>
      <w:r>
        <w:rPr>
          <w:b/>
          <w:bCs/>
        </w:rPr>
        <w:t xml:space="preserve">Result: </w:t>
      </w:r>
      <w:r>
        <w:t xml:space="preserve">36.9% (177 of 480) against 18.9% (2,175 of 11,520); p &lt; 0.001. Higher in every segment: 33.3% to 40.6% for international, 18.6% to 19.6% for domestic.</w:t>
      </w:r>
    </w:p>
    <w:p>
      <w:pPr>
        <w:pStyle w:val="ListParagraph"/>
        <w:numPr>
          <w:ilvl w:val="0"/>
          <w:numId w:val="1"/>
        </w:numPr>
        <w:spacing w:after="100"/>
      </w:pPr>
      <w:r>
        <w:rPr>
          <w:b/>
          <w:bCs/>
        </w:rPr>
        <w:t xml:space="preserve">Conclusion: </w:t>
      </w:r>
      <w:r>
        <w:t xml:space="preserve">Validated.</w:t>
      </w:r>
    </w:p>
    <w:p>
      <w:pPr>
        <w:pStyle w:val="Heading2"/>
        <w:spacing w:after="150" w:before="300"/>
      </w:pPr>
      <w:r>
        <w:t xml:space="preserve">2. High-value transactions have a higher risk-review rate</w:t>
      </w:r>
    </w:p>
    <w:p>
      <w:pPr>
        <w:pStyle w:val="ListParagraph"/>
        <w:numPr>
          <w:ilvl w:val="0"/>
          <w:numId w:val="1"/>
        </w:numPr>
        <w:spacing w:after="100"/>
      </w:pPr>
      <w:r>
        <w:rPr>
          <w:b/>
          <w:bCs/>
        </w:rPr>
        <w:t xml:space="preserve">Finding: </w:t>
      </w:r>
      <w:r>
        <w:t xml:space="preserve">Transactions in the top 10% of value for their own type are flagged more often.</w:t>
      </w:r>
    </w:p>
    <w:p>
      <w:pPr>
        <w:pStyle w:val="ListParagraph"/>
        <w:numPr>
          <w:ilvl w:val="0"/>
          <w:numId w:val="1"/>
        </w:numPr>
        <w:spacing w:after="100"/>
      </w:pPr>
      <w:r>
        <w:rPr>
          <w:b/>
          <w:bCs/>
        </w:rPr>
        <w:t xml:space="preserve">Validation Method: </w:t>
      </w:r>
      <w:r>
        <w:t xml:space="preserve">Chi-square test overall, then separately for domestic and international transactions, to rule out the international effect as the explanation. The same two overall rates come out of the Python analysis and the final SQL query (Q5).</w:t>
      </w:r>
    </w:p>
    <w:p>
      <w:pPr>
        <w:pStyle w:val="ListParagraph"/>
        <w:numPr>
          <w:ilvl w:val="0"/>
          <w:numId w:val="1"/>
        </w:numPr>
        <w:spacing w:after="100"/>
      </w:pPr>
      <w:r>
        <w:rPr>
          <w:b/>
          <w:bCs/>
        </w:rPr>
        <w:t xml:space="preserve">Result: </w:t>
      </w:r>
      <w:r>
        <w:t xml:space="preserve">Overall 29.5% against 18.5% (p &lt; 0.001). Domestic: 28.6% against 17.8% (p &lt; 0.001). International: 53.5% against 35.2% (p = 0.018), based on only 43 high-value international transactions.</w:t>
      </w:r>
    </w:p>
    <w:p>
      <w:pPr>
        <w:pStyle w:val="ListParagraph"/>
        <w:numPr>
          <w:ilvl w:val="0"/>
          <w:numId w:val="1"/>
        </w:numPr>
        <w:spacing w:after="100"/>
      </w:pPr>
      <w:r>
        <w:rPr>
          <w:b/>
          <w:bCs/>
        </w:rPr>
        <w:t xml:space="preserve">Conclusion: </w:t>
      </w:r>
      <w:r>
        <w:t xml:space="preserve">Validated. It holds in both groups, though the international subgroup is small.</w:t>
      </w:r>
    </w:p>
    <w:p>
      <w:pPr>
        <w:pStyle w:val="Heading2"/>
        <w:spacing w:after="150" w:before="300"/>
      </w:pPr>
      <w:r>
        <w:t xml:space="preserve">3. Digital engagement doesn't predict transaction activity</w:t>
      </w:r>
    </w:p>
    <w:p>
      <w:pPr>
        <w:pStyle w:val="ListParagraph"/>
        <w:numPr>
          <w:ilvl w:val="0"/>
          <w:numId w:val="1"/>
        </w:numPr>
        <w:spacing w:after="100"/>
      </w:pPr>
      <w:r>
        <w:rPr>
          <w:b/>
          <w:bCs/>
        </w:rPr>
        <w:t xml:space="preserve">Finding: </w:t>
      </w:r>
      <w:r>
        <w:t xml:space="preserve">Customers with higher digital engagement scores don't transact more often.</w:t>
      </w:r>
    </w:p>
    <w:p>
      <w:pPr>
        <w:pStyle w:val="ListParagraph"/>
        <w:numPr>
          <w:ilvl w:val="0"/>
          <w:numId w:val="1"/>
        </w:numPr>
        <w:spacing w:after="100"/>
      </w:pPr>
      <w:r>
        <w:rPr>
          <w:b/>
          <w:bCs/>
        </w:rPr>
        <w:t xml:space="preserve">Validation Method: </w:t>
      </w:r>
      <w:r>
        <w:t xml:space="preserve">Correlation and a one-way ANOVA across engagement quartiles, repeated for tenure, age, income band, account type and segment.</w:t>
      </w:r>
    </w:p>
    <w:p>
      <w:pPr>
        <w:pStyle w:val="ListParagraph"/>
        <w:numPr>
          <w:ilvl w:val="0"/>
          <w:numId w:val="1"/>
        </w:numPr>
        <w:spacing w:after="100"/>
      </w:pPr>
      <w:r>
        <w:rPr>
          <w:b/>
          <w:bCs/>
        </w:rPr>
        <w:t xml:space="preserve">Result: </w:t>
      </w:r>
      <w:r>
        <w:t xml:space="preserve">Engagement correlation 0.038; quartile means of 7.94, 7.90, 7.90, 8.26 transactions per customer; ANOVA p = 0.238. No other attribute came close to significance either. The lowest p-value of the six was the engagement one at p = 0.238.</w:t>
      </w:r>
    </w:p>
    <w:p>
      <w:pPr>
        <w:pStyle w:val="ListParagraph"/>
        <w:numPr>
          <w:ilvl w:val="0"/>
          <w:numId w:val="1"/>
        </w:numPr>
        <w:spacing w:after="100"/>
      </w:pPr>
      <w:r>
        <w:rPr>
          <w:b/>
          <w:bCs/>
        </w:rPr>
        <w:t xml:space="preserve">Conclusion: </w:t>
      </w:r>
      <w:r>
        <w:t xml:space="preserve">Validated, and wider than I first claimed. It isn't only engagement; none of the attributes I tested explains activity.</w:t>
      </w:r>
    </w:p>
    <w:p>
      <w:pPr>
        <w:pStyle w:val="Heading2"/>
        <w:spacing w:after="150" w:before="300"/>
      </w:pPr>
      <w:r>
        <w:t xml:space="preserve">4. The February dip isn't real</w:t>
      </w:r>
    </w:p>
    <w:p>
      <w:pPr>
        <w:pStyle w:val="ListParagraph"/>
        <w:numPr>
          <w:ilvl w:val="0"/>
          <w:numId w:val="1"/>
        </w:numPr>
        <w:spacing w:after="100"/>
      </w:pPr>
      <w:r>
        <w:rPr>
          <w:b/>
          <w:bCs/>
        </w:rPr>
        <w:t xml:space="preserve">Finding: </w:t>
      </w:r>
      <w:r>
        <w:t xml:space="preserve">Transactions fell in February, as the Week 2 monthly view suggested.</w:t>
      </w:r>
    </w:p>
    <w:p>
      <w:pPr>
        <w:pStyle w:val="ListParagraph"/>
        <w:numPr>
          <w:ilvl w:val="0"/>
          <w:numId w:val="1"/>
        </w:numPr>
        <w:spacing w:after="100"/>
      </w:pPr>
      <w:r>
        <w:rPr>
          <w:b/>
          <w:bCs/>
        </w:rPr>
        <w:t xml:space="preserve">Validation Method: </w:t>
      </w:r>
      <w:r>
        <w:t xml:space="preserve">Divided each month's transaction count by the number of days in that month.</w:t>
      </w:r>
    </w:p>
    <w:p>
      <w:pPr>
        <w:pStyle w:val="ListParagraph"/>
        <w:numPr>
          <w:ilvl w:val="0"/>
          <w:numId w:val="1"/>
        </w:numPr>
        <w:spacing w:after="100"/>
      </w:pPr>
      <w:r>
        <w:rPr>
          <w:b/>
          <w:bCs/>
        </w:rPr>
        <w:t xml:space="preserve">Result: </w:t>
      </w:r>
      <w:r>
        <w:t xml:space="preserve">Monthly counts of 4,133 / 3,734 / 4,133 become 133.3 / 133.4 / 133.3 transactions per day, which is a flat rate. The apparent 9.7% drop is February having 28 days. The same daily rates come out of the Python analysis and the final SQL query (Q4).</w:t>
      </w:r>
    </w:p>
    <w:p>
      <w:pPr>
        <w:pStyle w:val="ListParagraph"/>
        <w:numPr>
          <w:ilvl w:val="0"/>
          <w:numId w:val="1"/>
        </w:numPr>
        <w:spacing w:after="100"/>
      </w:pPr>
      <w:r>
        <w:rPr>
          <w:b/>
          <w:bCs/>
        </w:rPr>
        <w:t xml:space="preserve">Conclusion: </w:t>
      </w:r>
      <w:r>
        <w:t xml:space="preserve">Finding withdrawn. I corrected this in Week 3, and it still holds.</w:t>
      </w:r>
    </w:p>
    <w:p>
      <w:pPr>
        <w:pStyle w:val="Heading2"/>
        <w:spacing w:after="150" w:before="300"/>
      </w:pPr>
      <w:r>
        <w:t xml:space="preserve">5. Mobile App is the least reliable channel</w:t>
      </w:r>
    </w:p>
    <w:p>
      <w:pPr>
        <w:pStyle w:val="ListParagraph"/>
        <w:numPr>
          <w:ilvl w:val="0"/>
          <w:numId w:val="1"/>
        </w:numPr>
        <w:spacing w:after="100"/>
      </w:pPr>
      <w:r>
        <w:rPr>
          <w:b/>
          <w:bCs/>
        </w:rPr>
        <w:t xml:space="preserve">Finding: </w:t>
      </w:r>
      <w:r>
        <w:t xml:space="preserve">Mobile App has the lowest transaction success rate of the five channels.</w:t>
      </w:r>
    </w:p>
    <w:p>
      <w:pPr>
        <w:pStyle w:val="ListParagraph"/>
        <w:numPr>
          <w:ilvl w:val="0"/>
          <w:numId w:val="1"/>
        </w:numPr>
        <w:spacing w:after="100"/>
      </w:pPr>
      <w:r>
        <w:rPr>
          <w:b/>
          <w:bCs/>
        </w:rPr>
        <w:t xml:space="preserve">Validation Method: </w:t>
      </w:r>
      <w:r>
        <w:t xml:space="preserve">Chi-square tests comparing Mobile App with the other four channels combined and with ATM (the best channel), plus one test across all five channels at once.</w:t>
      </w:r>
    </w:p>
    <w:p>
      <w:pPr>
        <w:pStyle w:val="ListParagraph"/>
        <w:numPr>
          <w:ilvl w:val="0"/>
          <w:numId w:val="1"/>
        </w:numPr>
        <w:spacing w:after="100"/>
      </w:pPr>
      <w:r>
        <w:rPr>
          <w:b/>
          <w:bCs/>
        </w:rPr>
        <w:t xml:space="preserve">Result: </w:t>
      </w:r>
      <w:r>
        <w:t xml:space="preserve">Mobile App 89.75% (5,102 transactions) against 91.00% for the other channels (p = 0.021) and 91.70% for ATM (p = 0.018). Across all five channels together: p = 0.143.</w:t>
      </w:r>
    </w:p>
    <w:p>
      <w:pPr>
        <w:pStyle w:val="ListParagraph"/>
        <w:numPr>
          <w:ilvl w:val="0"/>
          <w:numId w:val="1"/>
        </w:numPr>
        <w:spacing w:after="100"/>
      </w:pPr>
      <w:r>
        <w:rPr>
          <w:b/>
          <w:bCs/>
        </w:rPr>
        <w:t xml:space="preserve">Conclusion: </w:t>
      </w:r>
      <w:r>
        <w:t xml:space="preserve">Weakened. Mobile App is the lowest, and its gap shows up when tested on its own, but I picked it because it was the lowest, which flatters that test, and the channels as a group aren't significantly different. The gap is 1.25 percentage points, or about 64 transactions over three months. "Slightly lower" describes it better than "least reliable".</w:t>
      </w:r>
    </w:p>
    <w:p>
      <w:pPr>
        <w:pStyle w:val="Heading2"/>
        <w:spacing w:after="150" w:before="300"/>
      </w:pPr>
      <w:r>
        <w:t xml:space="preserve">6. Premium customers carry the highest risk-review exposure</w:t>
      </w:r>
    </w:p>
    <w:p>
      <w:pPr>
        <w:pStyle w:val="ListParagraph"/>
        <w:numPr>
          <w:ilvl w:val="0"/>
          <w:numId w:val="1"/>
        </w:numPr>
        <w:spacing w:after="100"/>
      </w:pPr>
      <w:r>
        <w:rPr>
          <w:b/>
          <w:bCs/>
        </w:rPr>
        <w:t xml:space="preserve">Finding: </w:t>
      </w:r>
      <w:r>
        <w:t xml:space="preserve">Premium customers are flagged for review more often than other segments.</w:t>
      </w:r>
    </w:p>
    <w:p>
      <w:pPr>
        <w:pStyle w:val="ListParagraph"/>
        <w:numPr>
          <w:ilvl w:val="0"/>
          <w:numId w:val="1"/>
        </w:numPr>
        <w:spacing w:after="100"/>
      </w:pPr>
      <w:r>
        <w:rPr>
          <w:b/>
          <w:bCs/>
        </w:rPr>
        <w:t xml:space="preserve">Validation Method: </w:t>
      </w:r>
      <w:r>
        <w:t xml:space="preserve">Chi-square test across the four segments, and Premium against everyone else.</w:t>
      </w:r>
    </w:p>
    <w:p>
      <w:pPr>
        <w:pStyle w:val="ListParagraph"/>
        <w:numPr>
          <w:ilvl w:val="0"/>
          <w:numId w:val="1"/>
        </w:numPr>
        <w:spacing w:after="100"/>
      </w:pPr>
      <w:r>
        <w:rPr>
          <w:b/>
          <w:bCs/>
        </w:rPr>
        <w:t xml:space="preserve">Result: </w:t>
      </w:r>
      <w:r>
        <w:t xml:space="preserve">Everyday 19.29%, SME 19.40%, Student 19.75%, Premium 20.33%; across segments p = 0.751. Premium against the rest: 20.33% against 19.42% (p = 0.319).</w:t>
      </w:r>
    </w:p>
    <w:p>
      <w:pPr>
        <w:pStyle w:val="ListParagraph"/>
        <w:numPr>
          <w:ilvl w:val="0"/>
          <w:numId w:val="1"/>
        </w:numPr>
        <w:spacing w:after="100"/>
      </w:pPr>
      <w:r>
        <w:rPr>
          <w:b/>
          <w:bCs/>
        </w:rPr>
        <w:t xml:space="preserve">Conclusion: </w:t>
      </w:r>
      <w:r>
        <w:t xml:space="preserve">Not supported. Premium is nominally the highest, but the differences are well within what chance produces.</w:t>
      </w:r>
    </w:p>
    <w:p>
      <w:pPr>
        <w:pStyle w:val="Heading2"/>
        <w:spacing w:after="150" w:before="300"/>
      </w:pPr>
      <w:r>
        <w:t xml:space="preserve">7. Student customers on Web are the weakest success pairing</w:t>
      </w:r>
    </w:p>
    <w:p>
      <w:pPr>
        <w:pStyle w:val="ListParagraph"/>
        <w:numPr>
          <w:ilvl w:val="0"/>
          <w:numId w:val="1"/>
        </w:numPr>
        <w:spacing w:after="100"/>
      </w:pPr>
      <w:r>
        <w:rPr>
          <w:b/>
          <w:bCs/>
        </w:rPr>
        <w:t xml:space="preserve">Finding: </w:t>
      </w:r>
      <w:r>
        <w:t xml:space="preserve">The lowest success rate in the segment-by-channel grid belongs to Student customers on Web.</w:t>
      </w:r>
    </w:p>
    <w:p>
      <w:pPr>
        <w:pStyle w:val="ListParagraph"/>
        <w:numPr>
          <w:ilvl w:val="0"/>
          <w:numId w:val="1"/>
        </w:numPr>
        <w:spacing w:after="100"/>
      </w:pPr>
      <w:r>
        <w:rPr>
          <w:b/>
          <w:bCs/>
        </w:rPr>
        <w:t xml:space="preserve">Validation Method: </w:t>
      </w:r>
      <w:r>
        <w:t xml:space="preserve">A chi-square test of that cell against all other transactions, a chi-square test across all 20 cells, and a simulation. For the simulation I generated 20,000 random datasets with the same cell sizes and the same overall success rate, and recorded how low the lowest cell got each time.</w:t>
      </w:r>
    </w:p>
    <w:p>
      <w:pPr>
        <w:pStyle w:val="ListParagraph"/>
        <w:numPr>
          <w:ilvl w:val="0"/>
          <w:numId w:val="1"/>
        </w:numPr>
        <w:spacing w:after="100"/>
      </w:pPr>
      <w:r>
        <w:rPr>
          <w:b/>
          <w:bCs/>
        </w:rPr>
        <w:t xml:space="preserve">Result: </w:t>
      </w:r>
      <w:r>
        <w:t xml:space="preserve">88.07% (310 of 352) against 90.54% for everything else (p = 0.120). Success rates across all 20 cells don't differ more than chance would expect (p = 0.192). In the simulation, chance alone produced a lowest cell at least that low 73% of the time.</w:t>
      </w:r>
    </w:p>
    <w:p>
      <w:pPr>
        <w:pStyle w:val="ListParagraph"/>
        <w:numPr>
          <w:ilvl w:val="0"/>
          <w:numId w:val="1"/>
        </w:numPr>
        <w:spacing w:after="100"/>
      </w:pPr>
      <w:r>
        <w:rPr>
          <w:b/>
          <w:bCs/>
        </w:rPr>
        <w:t xml:space="preserve">Conclusion: </w:t>
      </w:r>
      <w:r>
        <w:t xml:space="preserve">Not supported. With 20 cells, one of them has to be the lowest, and this one is about as low as chance predicts. It's a pattern to keep an eye on, not a weak spot to fix.</w:t>
      </w:r>
    </w:p>
    <w:p>
      <w:pPr>
        <w:pStyle w:val="Heading2"/>
        <w:spacing w:after="150" w:before="300"/>
      </w:pPr>
      <w:r>
        <w:t xml:space="preserve">8. Premium on Web is the risk hotspot</w:t>
      </w:r>
    </w:p>
    <w:p>
      <w:pPr>
        <w:pStyle w:val="ListParagraph"/>
        <w:numPr>
          <w:ilvl w:val="0"/>
          <w:numId w:val="1"/>
        </w:numPr>
        <w:spacing w:after="100"/>
      </w:pPr>
      <w:r>
        <w:rPr>
          <w:b/>
          <w:bCs/>
        </w:rPr>
        <w:t xml:space="preserve">Finding: </w:t>
      </w:r>
      <w:r>
        <w:t xml:space="preserve">Premium customers on Web have the highest risk-review rate in the segment-by-channel grid.</w:t>
      </w:r>
    </w:p>
    <w:p>
      <w:pPr>
        <w:pStyle w:val="ListParagraph"/>
        <w:numPr>
          <w:ilvl w:val="0"/>
          <w:numId w:val="1"/>
        </w:numPr>
        <w:spacing w:after="100"/>
      </w:pPr>
      <w:r>
        <w:rPr>
          <w:b/>
          <w:bCs/>
        </w:rPr>
        <w:t xml:space="preserve">Validation Method: </w:t>
      </w:r>
      <w:r>
        <w:t xml:space="preserve">The same three steps as above, applied to the risk-review flag.</w:t>
      </w:r>
    </w:p>
    <w:p>
      <w:pPr>
        <w:pStyle w:val="ListParagraph"/>
        <w:numPr>
          <w:ilvl w:val="0"/>
          <w:numId w:val="1"/>
        </w:numPr>
        <w:spacing w:after="100"/>
      </w:pPr>
      <w:r>
        <w:rPr>
          <w:b/>
          <w:bCs/>
        </w:rPr>
        <w:t xml:space="preserve">Result: </w:t>
      </w:r>
      <w:r>
        <w:t xml:space="preserve">25.48% (92 of 361) against 19.42% for everything else. Tested on its own, that looks clear (p = 0.004). But it wasn't chosen on its own; it was chosen as the highest of 20 cells. In the simulation, chance alone produced a cell at least that high 14% of the time, and across all 20 cells the risk rates don't differ more than chance would expect (p = 0.274).</w:t>
      </w:r>
    </w:p>
    <w:p>
      <w:pPr>
        <w:pStyle w:val="ListParagraph"/>
        <w:numPr>
          <w:ilvl w:val="0"/>
          <w:numId w:val="1"/>
        </w:numPr>
        <w:spacing w:after="100"/>
      </w:pPr>
      <w:r>
        <w:rPr>
          <w:b/>
          <w:bCs/>
        </w:rPr>
        <w:t xml:space="preserve">Conclusion: </w:t>
      </w:r>
      <w:r>
        <w:t xml:space="preserve">Suggestive only. It's a reasonable candidate to watch and to re-test with more data, but not strong enough to base a rule on.</w:t>
      </w:r>
    </w:p>
    <w:p>
      <w:pPr>
        <w:pStyle w:val="Heading2"/>
        <w:spacing w:after="150" w:before="300"/>
      </w:pPr>
      <w:r>
        <w:t xml:space="preserve">What the dashboard heatmaps can and can't show</w:t>
      </w:r>
    </w:p>
    <w:p>
      <w:pPr>
        <w:spacing w:after="160"/>
      </w:pPr>
      <w:r>
        <w:t xml:space="preserve">Both heatmaps are descriptive views. The cells hold between 140 and 2,368 transactions each, and the smaller ones move around a lot from chance alone. I'd use them to decide where to look, not as evidence that a particular cell really is different.</w:t>
      </w:r>
    </w:p>
    <w:p>
      <w:pPr>
        <w:pStyle w:val="Heading2"/>
        <w:spacing w:after="150" w:before="300"/>
      </w:pPr>
      <w:r>
        <w:t xml:space="preserve">Caveats</w:t>
      </w:r>
    </w:p>
    <w:p>
      <w:pPr>
        <w:spacing w:after="160"/>
      </w:pPr>
      <w:r>
        <w:t xml:space="preserve">I ran a lot of tests here, and when you run enough of them a few will look significant by accident. That is why I used the 20-cell simulation for the grid findings. The international and high-value results are far below any plausible threshold, so they would survive that concern; the weaker ones don't. The usual limits apply as well. The data is synthetic and covers three months (January to March 2026), the p-values assume transactions are independent of each other, and Risk_Review_Flag is an educational label, not a fraud determination.</w:t>
      </w:r>
    </w:p>
    <w:p>
      <w:pPr>
        <w:pStyle w:val="Heading1"/>
        <w:spacing w:after="200" w:before="400"/>
      </w:pPr>
      <w:r>
        <w:t xml:space="preserve">Final Testing &amp; Validation Requirement</w:t>
      </w:r>
    </w:p>
    <w:p>
      <w:pPr>
        <w:spacing w:after="160"/>
      </w:pPr>
      <w:r>
        <w:t xml:space="preserve">Two examples of the Final Output → Test → Finding → Refinement → Re-test → Final Result process, both from this week.</w:t>
      </w:r>
    </w:p>
    <w:p>
      <w:pPr>
        <w:pStyle w:val="Heading2"/>
        <w:spacing w:after="150" w:before="300"/>
      </w:pPr>
      <w:r>
        <w:t xml:space="preserve">Example 1: Re-testing the segment-by-channel findings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1F4E78" w:val="clear"/>
          </w:tcPr>
          <w:p>
            <w:r>
              <w:rPr>
                <w:b/>
                <w:bCs/>
                <w:color w:val="FFFFFF"/>
                <w:sz w:val="20"/>
                <w:szCs w:val="20"/>
              </w:rPr>
              <w:t xml:space="preserve">Stage</w:t>
            </w:r>
          </w:p>
        </w:tc>
        <w:tc>
          <w:tcPr>
            <w:tcW w:type="dxa" w:w="7150"/>
            <w:shd w:fill="1F4E78" w:val="clear"/>
          </w:tcPr>
          <w:p>
            <w:r>
              <w:rPr>
                <w:b/>
                <w:bCs/>
                <w:color w:val="FFFFFF"/>
                <w:sz w:val="20"/>
                <w:szCs w:val="20"/>
              </w:rPr>
              <w:t xml:space="preserve">What happened</w:t>
            </w:r>
          </w:p>
        </w:tc>
      </w:tr>
      <w:tr>
        <w:tc>
          <w:tcPr>
            <w:tcW w:type="dxa" w:w="2200"/>
          </w:tcPr>
          <w:p>
            <w:r>
              <w:rPr>
                <w:b w:val="false"/>
                <w:bCs w:val="false"/>
                <w:sz w:val="20"/>
                <w:szCs w:val="20"/>
              </w:rPr>
              <w:t xml:space="preserve">Final Output</w:t>
            </w:r>
          </w:p>
        </w:tc>
        <w:tc>
          <w:tcPr>
            <w:tcW w:type="dxa" w:w="7150"/>
          </w:tcPr>
          <w:p>
            <w:r>
              <w:rPr>
                <w:b w:val="false"/>
                <w:bCs w:val="false"/>
                <w:sz w:val="20"/>
                <w:szCs w:val="20"/>
              </w:rPr>
              <w:t xml:space="preserve">Week 3 conclusions that Premium on Web was the highest-risk pairing and Student on Web the weakest on success, both labelled validated.</w:t>
            </w:r>
          </w:p>
        </w:tc>
      </w:tr>
      <w:tr>
        <w:tc>
          <w:tcPr>
            <w:tcW w:type="dxa" w:w="2200"/>
          </w:tcPr>
          <w:p>
            <w:r>
              <w:rPr>
                <w:b w:val="false"/>
                <w:bCs w:val="false"/>
                <w:sz w:val="20"/>
                <w:szCs w:val="20"/>
              </w:rPr>
              <w:t xml:space="preserve">Test</w:t>
            </w:r>
          </w:p>
        </w:tc>
        <w:tc>
          <w:tcPr>
            <w:tcW w:type="dxa" w:w="7150"/>
          </w:tcPr>
          <w:p>
            <w:r>
              <w:rPr>
                <w:b w:val="false"/>
                <w:bCs w:val="false"/>
                <w:sz w:val="20"/>
                <w:szCs w:val="20"/>
              </w:rPr>
              <w:t xml:space="preserve">Significance tests on each, plus a simulation of how extreme the best and worst of 20 cells look by chance.</w:t>
            </w:r>
          </w:p>
        </w:tc>
      </w:tr>
      <w:tr>
        <w:tc>
          <w:tcPr>
            <w:tcW w:type="dxa" w:w="2200"/>
          </w:tcPr>
          <w:p>
            <w:r>
              <w:rPr>
                <w:b w:val="false"/>
                <w:bCs w:val="false"/>
                <w:sz w:val="20"/>
                <w:szCs w:val="20"/>
              </w:rPr>
              <w:t xml:space="preserve">Finding</w:t>
            </w:r>
          </w:p>
        </w:tc>
        <w:tc>
          <w:tcPr>
            <w:tcW w:type="dxa" w:w="7150"/>
          </w:tcPr>
          <w:p>
            <w:r>
              <w:rPr>
                <w:b w:val="false"/>
                <w:bCs w:val="false"/>
                <w:sz w:val="20"/>
                <w:szCs w:val="20"/>
              </w:rPr>
              <w:t xml:space="preserve">Student on Web wasn't distinguishable from chance (p = 0.120; chance produced a cell that low 73% of the time). Premium on Web looked clear on its own (p = 0.004), but chance produced a cell that high 14% of the time.</w:t>
            </w:r>
          </w:p>
        </w:tc>
      </w:tr>
      <w:tr>
        <w:tc>
          <w:tcPr>
            <w:tcW w:type="dxa" w:w="2200"/>
          </w:tcPr>
          <w:p>
            <w:r>
              <w:rPr>
                <w:b w:val="false"/>
                <w:bCs w:val="false"/>
                <w:sz w:val="20"/>
                <w:szCs w:val="20"/>
              </w:rPr>
              <w:t xml:space="preserve">Refinement</w:t>
            </w:r>
          </w:p>
        </w:tc>
        <w:tc>
          <w:tcPr>
            <w:tcW w:type="dxa" w:w="7150"/>
          </w:tcPr>
          <w:p>
            <w:r>
              <w:rPr>
                <w:b w:val="false"/>
                <w:bCs w:val="false"/>
                <w:sz w:val="20"/>
                <w:szCs w:val="20"/>
              </w:rPr>
              <w:t xml:space="preserve">Reclassified Student on Web as not supported and Premium on Web as a watchlist item, withdrew the Premium segment claim, and rewrote the related recommendations.</w:t>
            </w:r>
          </w:p>
        </w:tc>
      </w:tr>
      <w:tr>
        <w:tc>
          <w:tcPr>
            <w:tcW w:type="dxa" w:w="2200"/>
          </w:tcPr>
          <w:p>
            <w:r>
              <w:rPr>
                <w:b w:val="false"/>
                <w:bCs w:val="false"/>
                <w:sz w:val="20"/>
                <w:szCs w:val="20"/>
              </w:rPr>
              <w:t xml:space="preserve">Re-test</w:t>
            </w:r>
          </w:p>
        </w:tc>
        <w:tc>
          <w:tcPr>
            <w:tcW w:type="dxa" w:w="7150"/>
          </w:tcPr>
          <w:p>
            <w:r>
              <w:rPr>
                <w:b w:val="false"/>
                <w:bCs w:val="false"/>
                <w:sz w:val="20"/>
                <w:szCs w:val="20"/>
              </w:rPr>
              <w:t xml:space="preserve">Checked the conclusion a second way with a chi-square test across the whole grid for each measure: success p = 0.192, risk p = 0.274. Neither shows variation beyond chance.</w:t>
            </w:r>
          </w:p>
        </w:tc>
      </w:tr>
      <w:tr>
        <w:tc>
          <w:tcPr>
            <w:tcW w:type="dxa" w:w="2200"/>
          </w:tcPr>
          <w:p>
            <w:r>
              <w:rPr>
                <w:b w:val="false"/>
                <w:bCs w:val="false"/>
                <w:sz w:val="20"/>
                <w:szCs w:val="20"/>
              </w:rPr>
              <w:t xml:space="preserve">Final Result</w:t>
            </w:r>
          </w:p>
        </w:tc>
        <w:tc>
          <w:tcPr>
            <w:tcW w:type="dxa" w:w="7150"/>
          </w:tcPr>
          <w:p>
            <w:r>
              <w:rPr>
                <w:b w:val="false"/>
                <w:bCs w:val="false"/>
                <w:sz w:val="20"/>
                <w:szCs w:val="20"/>
              </w:rPr>
              <w:t xml:space="preserve">Both patterns are reported as unconfirmed, with their sample sizes (352 and 361 transactions) alongside.</w:t>
            </w:r>
          </w:p>
        </w:tc>
      </w:tr>
    </w:tbl>
    <w:p>
      <w:pPr>
        <w:spacing w:after="160"/>
      </w:pPr>
      <w:r>
        <w:t xml:space="preserve"/>
      </w:r>
    </w:p>
    <w:p>
      <w:pPr>
        <w:pStyle w:val="Heading2"/>
        <w:spacing w:after="150" w:before="300"/>
      </w:pPr>
      <w:r>
        <w:t xml:space="preserve">Example 2: Final dashboard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1F4E78" w:val="clear"/>
          </w:tcPr>
          <w:p>
            <w:r>
              <w:rPr>
                <w:b/>
                <w:bCs/>
                <w:color w:val="FFFFFF"/>
                <w:sz w:val="20"/>
                <w:szCs w:val="20"/>
              </w:rPr>
              <w:t xml:space="preserve">Stage</w:t>
            </w:r>
          </w:p>
        </w:tc>
        <w:tc>
          <w:tcPr>
            <w:tcW w:type="dxa" w:w="7150"/>
            <w:shd w:fill="1F4E78" w:val="clear"/>
          </w:tcPr>
          <w:p>
            <w:r>
              <w:rPr>
                <w:b/>
                <w:bCs/>
                <w:color w:val="FFFFFF"/>
                <w:sz w:val="20"/>
                <w:szCs w:val="20"/>
              </w:rPr>
              <w:t xml:space="preserve">What happened</w:t>
            </w:r>
          </w:p>
        </w:tc>
      </w:tr>
      <w:tr>
        <w:tc>
          <w:tcPr>
            <w:tcW w:type="dxa" w:w="2200"/>
          </w:tcPr>
          <w:p>
            <w:r>
              <w:rPr>
                <w:b w:val="false"/>
                <w:bCs w:val="false"/>
                <w:sz w:val="20"/>
                <w:szCs w:val="20"/>
              </w:rPr>
              <w:t xml:space="preserve">Final Output</w:t>
            </w:r>
          </w:p>
        </w:tc>
        <w:tc>
          <w:tcPr>
            <w:tcW w:type="dxa" w:w="7150"/>
          </w:tcPr>
          <w:p>
            <w:r>
              <w:rPr>
                <w:b w:val="false"/>
                <w:bCs w:val="false"/>
                <w:sz w:val="20"/>
                <w:szCs w:val="20"/>
              </w:rPr>
              <w:t xml:space="preserve">The final Power BI dashboard: KPI cards, charts, slicers and a toggle between the risk and success heatmaps.</w:t>
            </w:r>
          </w:p>
        </w:tc>
      </w:tr>
      <w:tr>
        <w:tc>
          <w:tcPr>
            <w:tcW w:type="dxa" w:w="2200"/>
          </w:tcPr>
          <w:p>
            <w:r>
              <w:rPr>
                <w:b w:val="false"/>
                <w:bCs w:val="false"/>
                <w:sz w:val="20"/>
                <w:szCs w:val="20"/>
              </w:rPr>
              <w:t xml:space="preserve">Test</w:t>
            </w:r>
          </w:p>
        </w:tc>
        <w:tc>
          <w:tcPr>
            <w:tcW w:type="dxa" w:w="7150"/>
          </w:tcPr>
          <w:p>
            <w:r>
              <w:rPr>
                <w:b w:val="false"/>
                <w:bCs w:val="false"/>
                <w:sz w:val="20"/>
                <w:szCs w:val="20"/>
              </w:rPr>
              <w:t xml:space="preserve">Compared each KPI card with a value calculated separately from the raw CSV files, and read each chart against the validated findings.</w:t>
            </w:r>
          </w:p>
        </w:tc>
      </w:tr>
      <w:tr>
        <w:tc>
          <w:tcPr>
            <w:tcW w:type="dxa" w:w="2200"/>
          </w:tcPr>
          <w:p>
            <w:r>
              <w:rPr>
                <w:b w:val="false"/>
                <w:bCs w:val="false"/>
                <w:sz w:val="20"/>
                <w:szCs w:val="20"/>
              </w:rPr>
              <w:t xml:space="preserve">Finding</w:t>
            </w:r>
          </w:p>
        </w:tc>
        <w:tc>
          <w:tcPr>
            <w:tcW w:type="dxa" w:w="7150"/>
          </w:tcPr>
          <w:p>
            <w:r>
              <w:rPr>
                <w:b w:val="false"/>
                <w:bCs w:val="false"/>
                <w:sz w:val="20"/>
                <w:szCs w:val="20"/>
              </w:rPr>
              <w:t xml:space="preserve">All six KPI values matched (1,500 customers, 12,000 transactions, 7.97% failed or reversed, ₦560.48M total value, 90.47% success rate, 19.60% risk review rate). The problems were in presentation: truncated card labels, no thousands separators, a trend chart whose axis started near 3.8K and made February look like a collapse, and a heatmap cell too dark to read.</w:t>
            </w:r>
          </w:p>
        </w:tc>
      </w:tr>
      <w:tr>
        <w:tc>
          <w:tcPr>
            <w:tcW w:type="dxa" w:w="2200"/>
          </w:tcPr>
          <w:p>
            <w:r>
              <w:rPr>
                <w:b w:val="false"/>
                <w:bCs w:val="false"/>
                <w:sz w:val="20"/>
                <w:szCs w:val="20"/>
              </w:rPr>
              <w:t xml:space="preserve">Refinement</w:t>
            </w:r>
          </w:p>
        </w:tc>
        <w:tc>
          <w:tcPr>
            <w:tcW w:type="dxa" w:w="7150"/>
          </w:tcPr>
          <w:p>
            <w:r>
              <w:rPr>
                <w:b w:val="false"/>
                <w:bCs w:val="false"/>
                <w:sz w:val="20"/>
                <w:szCs w:val="20"/>
              </w:rPr>
              <w:t xml:space="preserve">Fixed the labels and number formats, started the trend chart's axis at 0, and changed the heatmap colours so the Premium-on-Web cell is readable.</w:t>
            </w:r>
          </w:p>
        </w:tc>
      </w:tr>
      <w:tr>
        <w:tc>
          <w:tcPr>
            <w:tcW w:type="dxa" w:w="2200"/>
          </w:tcPr>
          <w:p>
            <w:r>
              <w:rPr>
                <w:b w:val="false"/>
                <w:bCs w:val="false"/>
                <w:sz w:val="20"/>
                <w:szCs w:val="20"/>
              </w:rPr>
              <w:t xml:space="preserve">Re-test</w:t>
            </w:r>
          </w:p>
        </w:tc>
        <w:tc>
          <w:tcPr>
            <w:tcW w:type="dxa" w:w="7150"/>
          </w:tcPr>
          <w:p>
            <w:r>
              <w:rPr>
                <w:b w:val="false"/>
                <w:bCs w:val="false"/>
                <w:sz w:val="20"/>
                <w:szCs w:val="20"/>
              </w:rPr>
              <w:t xml:space="preserve">Reopened the dashboard and rechecked the cards and charts after the changes.</w:t>
            </w:r>
          </w:p>
        </w:tc>
      </w:tr>
      <w:tr>
        <w:tc>
          <w:tcPr>
            <w:tcW w:type="dxa" w:w="2200"/>
          </w:tcPr>
          <w:p>
            <w:r>
              <w:rPr>
                <w:b w:val="false"/>
                <w:bCs w:val="false"/>
                <w:sz w:val="20"/>
                <w:szCs w:val="20"/>
              </w:rPr>
              <w:t xml:space="preserve">Final Result</w:t>
            </w:r>
          </w:p>
        </w:tc>
        <w:tc>
          <w:tcPr>
            <w:tcW w:type="dxa" w:w="7150"/>
          </w:tcPr>
          <w:p>
            <w:r>
              <w:rPr>
                <w:b w:val="false"/>
                <w:bCs w:val="false"/>
                <w:sz w:val="20"/>
                <w:szCs w:val="20"/>
              </w:rPr>
              <w:t xml:space="preserve">The KPI values still match, and February no longer looks like a collapse.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2026-10-10T00:15:43.086Z</dcterms:created>
  <dcterms:modified xsi:type="dcterms:W3CDTF">2026-10-10T00:15:43.095Z</dcterms:modified>
</cp:coreProperties>
</file>

<file path=docProps/custom.xml><?xml version="1.0" encoding="utf-8"?>
<Properties xmlns="http://schemas.openxmlformats.org/officeDocument/2006/custom-properties" xmlns:vt="http://schemas.openxmlformats.org/officeDocument/2006/docPropsVTypes"/>
</file>