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1100"/>
        <w:jc w:val="center"/>
      </w:pPr>
      <w:r>
        <w:rPr>
          <w:rFonts w:ascii="Times New Roman" w:eastAsia="微軟正黑體" w:hAnsi="Times New Roman"/>
          <w:b/>
          <w:bCs/>
          <w:sz w:val="38"/>
          <w:szCs w:val="38"/>
        </w:rPr>
        <w:t xml:space="preserve">救護車調度與損壞道路修復決策模型</w:t>
      </w:r>
    </w:p>
    <w:p>
      <w:pPr>
        <w:spacing w:after="360"/>
        <w:jc w:val="center"/>
      </w:pPr>
      <w:r>
        <w:rPr>
          <w:rFonts w:ascii="Times New Roman" w:eastAsia="微軟正黑體" w:hAnsi="Times New Roman"/>
          <w:b/>
          <w:bCs/>
          <w:sz w:val="30"/>
          <w:szCs w:val="30"/>
        </w:rPr>
        <w:t xml:space="preserve">有效不等式（Valid Inequalities）實作規格</w:t>
      </w:r>
    </w:p>
    <w:p>
      <w:pPr>
        <w:spacing w:after="70"/>
        <w:jc w:val="center"/>
      </w:pPr>
      <w:r>
        <w:rPr>
          <w:rFonts w:ascii="Times New Roman" w:eastAsia="新細明體" w:hAnsi="Times New Roman"/>
          <w:sz w:val="22"/>
          <w:szCs w:val="22"/>
        </w:rPr>
        <w:t xml:space="preserve">以 Thesis_Draft 之 [RA-TSSP] 式 (1)–(27) 與 [RA-TSDRO] 式 (28)–(37) 為基礎</w:t>
      </w:r>
    </w:p>
    <w:p>
      <w:pPr>
        <w:spacing w:after="460"/>
        <w:jc w:val="center"/>
      </w:pPr>
      <w:r>
        <w:rPr>
          <w:rFonts w:ascii="Times New Roman" w:eastAsia="新細明體" w:hAnsi="Times New Roman"/>
          <w:sz w:val="22"/>
          <w:szCs w:val="22"/>
        </w:rPr>
        <w:t xml:space="preserve">2026 年 9 月　實作版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本文只收錄確定要寫進程式的八條有效不等式，依實作順序重新編號為 VI-1 至 VI-8，與先前草稿的編號無關。已評估但決定不實作的族列於第 4 節，並說明排除理由。所有符號一律沿用論文 3.3 節的定義，新增符號僅四個，列於 1.3 節。</w:t>
      </w:r>
    </w:p>
    <w:p>
      <w:r>
        <w:br w:type="page"/>
      </w:r>
    </w:p>
    <w:p>
      <w:pPr>
        <w:pStyle w:val="Heading1"/>
        <w:keepNext/>
        <w:spacing w:after="170" w:before="340"/>
      </w:pPr>
      <w:r>
        <w:rPr>
          <w:rFonts w:ascii="Times New Roman" w:eastAsia="微軟正黑體" w:hAnsi="Times New Roman"/>
          <w:b/>
          <w:bCs/>
          <w:sz w:val="30"/>
          <w:szCs w:val="30"/>
        </w:rPr>
        <w:t xml:space="preserve">1　總覽</w:t>
      </w:r>
    </w:p>
    <w:p>
      <w:pPr>
        <w:pStyle w:val="Heading2"/>
        <w:keepNext/>
        <w:spacing w:after="130" w:before="280"/>
      </w:pPr>
      <w:r>
        <w:rPr>
          <w:rFonts w:ascii="Times New Roman" w:eastAsia="微軟正黑體" w:hAnsi="Times New Roman"/>
          <w:b/>
          <w:bCs/>
          <w:sz w:val="25"/>
          <w:szCs w:val="25"/>
        </w:rPr>
        <w:t xml:space="preserve">1.1　三種型別與論文中的舉證責任</w:t>
      </w:r>
    </w:p>
    <w:tbl>
      <w:tblPr>
        <w:tblW w:type="dxa" w:w="9638"/>
        <w:tblBorders>
          <w:top w:val="single" w:color="9AA5A0" w:sz="4"/>
          <w:left w:val="single" w:color="C8CFCB" w:sz="2"/>
          <w:bottom w:val="single" w:color="9AA5A0" w:sz="4"/>
          <w:right w:val="single" w:color="C8CFCB" w:sz="2"/>
          <w:insideH w:val="single" w:color="C8CFCB" w:sz="2"/>
          <w:insideV w:val="single" w:color="C8CFCB" w:sz="2"/>
        </w:tblBorders>
      </w:tblPr>
      <w:tblGrid>
        <w:gridCol w:w="1900"/>
        <w:gridCol w:w="3400"/>
        <w:gridCol w:w="4338"/>
      </w:tblGrid>
      <w:tr>
        <w:trPr>
          <w:cantSplit/>
          <w:tblHeader/>
        </w:trPr>
        <w:tc>
          <w:tcPr>
            <w:tcW w:type="dxa" w:w="190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型別</w:t>
            </w:r>
          </w:p>
        </w:tc>
        <w:tc>
          <w:tcPr>
            <w:tcW w:type="dxa" w:w="340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4338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論文中必須證明的事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[EXACT] 等價重構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不切掉任何可行解，改寫前後的可行解集合完全相同。</w:t>
            </w:r>
          </w:p>
        </w:tc>
        <w:tc>
          <w:tcPr>
            <w:tcW w:type="dxa" w:w="43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新舊限制式等價（通常只需證單向，另一向顯然）。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[OPT] 保最佳性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可能切掉可行解、甚至切掉部分最佳解，但保證至少留下一個最佳解。</w:t>
            </w:r>
          </w:p>
        </w:tc>
        <w:tc>
          <w:tcPr>
            <w:tcW w:type="dxa" w:w="43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「存在一個最佳解滿足此式」。標準作法為交換論證：取任一最佳解，造出滿足此式的新解，論證新解仍可行且目標值不變差。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[RELAX] 鬆弛下界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對原問題所有可行解恆成立的不等式，不切掉任何可行解，僅收緊鬆弛。</w:t>
            </w:r>
          </w:p>
        </w:tc>
        <w:tc>
          <w:tcPr>
            <w:tcW w:type="dxa" w:w="43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對所有可行解成立（由原限制式順推）。</w:t>
            </w:r>
          </w:p>
        </w:tc>
      </w:tr>
    </w:tbl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[OPT] 的敘述不可寫成「不會切掉最佳解」—— 允許切掉部分最佳解正是破對稱這類技巧的基礎。正確的敘述是「最佳目標值不變」。</w:t>
      </w:r>
    </w:p>
    <w:p>
      <w:pPr>
        <w:pStyle w:val="Heading2"/>
        <w:keepNext/>
        <w:spacing w:after="130" w:before="280"/>
      </w:pPr>
      <w:r>
        <w:rPr>
          <w:rFonts w:ascii="Times New Roman" w:eastAsia="微軟正黑體" w:hAnsi="Times New Roman"/>
          <w:b/>
          <w:bCs/>
          <w:sz w:val="25"/>
          <w:szCs w:val="25"/>
        </w:rPr>
        <w:t xml:space="preserve">1.2　八條總表</w:t>
      </w:r>
    </w:p>
    <w:tbl>
      <w:tblPr>
        <w:tblW w:type="dxa" w:w="9638"/>
        <w:tblBorders>
          <w:top w:val="single" w:color="9AA5A0" w:sz="4"/>
          <w:left w:val="single" w:color="C8CFCB" w:sz="2"/>
          <w:bottom w:val="single" w:color="9AA5A0" w:sz="4"/>
          <w:right w:val="single" w:color="C8CFCB" w:sz="2"/>
          <w:insideH w:val="single" w:color="C8CFCB" w:sz="2"/>
          <w:insideV w:val="single" w:color="C8CFCB" w:sz="2"/>
        </w:tblBorders>
      </w:tblPr>
      <w:tblGrid>
        <w:gridCol w:w="800"/>
        <w:gridCol w:w="3000"/>
        <w:gridCol w:w="1600"/>
        <w:gridCol w:w="2500"/>
        <w:gridCol w:w="1738"/>
      </w:tblGrid>
      <w:tr>
        <w:trPr>
          <w:cantSplit/>
          <w:tblHeader/>
        </w:trPr>
        <w:tc>
          <w:tcPr>
            <w:tcW w:type="dxa" w:w="80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19"/>
                <w:szCs w:val="19"/>
              </w:rPr>
              <w:t xml:space="preserve">編號</w:t>
            </w:r>
          </w:p>
        </w:tc>
        <w:tc>
          <w:tcPr>
            <w:tcW w:type="dxa" w:w="300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type="dxa" w:w="160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250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19"/>
                <w:szCs w:val="19"/>
              </w:rPr>
              <w:t xml:space="preserve">與原式關係</w:t>
            </w:r>
          </w:p>
        </w:tc>
        <w:tc>
          <w:tcPr>
            <w:tcW w:type="dxa" w:w="1738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19"/>
                <w:szCs w:val="19"/>
              </w:rPr>
              <w:t xml:space="preserve">型別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VI-1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收緊式 (11) 的道路容量係數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第二階段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取代 (11) 的右手邊係數</w:t>
            </w:r>
          </w:p>
        </w:tc>
        <w:tc>
          <w:tcPr>
            <w:tcW w:type="dxa" w:w="17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EXACT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VI-2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收緊式 (12) 的道路容量係數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第二階段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取代 (12) 的右手邊係數</w:t>
            </w:r>
          </w:p>
        </w:tc>
        <w:tc>
          <w:tcPr>
            <w:tcW w:type="dxa" w:w="17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EXACT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VI-3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合併式 (14) 與式 (26)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第二階段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以一條取代兩條</w:t>
            </w:r>
          </w:p>
        </w:tc>
        <w:tc>
          <w:tcPr>
            <w:tcW w:type="dxa" w:w="17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EXACT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VI-4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收緊式 (5) 的醫護配置上界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第一階段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取代 (5) 的右手邊係數</w:t>
            </w:r>
          </w:p>
        </w:tc>
        <w:tc>
          <w:tcPr>
            <w:tcW w:type="dxa" w:w="17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OPT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VI-5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開站使用連結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第一階段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新增</w:t>
            </w:r>
          </w:p>
        </w:tc>
        <w:tc>
          <w:tcPr>
            <w:tcW w:type="dxa" w:w="17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OPT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VI-6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θ</w:t>
            </w: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 的情境下界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Benders master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新增（θ</w:t>
            </w: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 的變數下界）</w:t>
            </w:r>
          </w:p>
        </w:tc>
        <w:tc>
          <w:tcPr>
            <w:tcW w:type="dxa" w:w="17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RELAX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VI-7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θ</w:t>
            </w: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 的情境上界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Benders master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新增（θ</w:t>
            </w: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 的變數上界）</w:t>
            </w:r>
          </w:p>
        </w:tc>
        <w:tc>
          <w:tcPr>
            <w:tcW w:type="dxa" w:w="17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OPT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VI-8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每情境彙總鬆弛（十條 + 連結式）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Benders master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新增</w:t>
            </w:r>
          </w:p>
        </w:tc>
        <w:tc>
          <w:tcPr>
            <w:tcW w:type="dxa" w:w="17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9"/>
                <w:szCs w:val="19"/>
              </w:rPr>
              <w:t xml:space="preserve">RELAX</w:t>
            </w:r>
          </w:p>
        </w:tc>
      </w:tr>
    </w:tbl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VI-1 至 VI-5 作用於模型本身，extensive form 與 Benders 子問題兩種求解路徑都適用；VI-6 至 VI-8 只在 Benders master 中出現，extensive form 不需要（該處沒有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）。</w:t>
      </w:r>
    </w:p>
    <w:p>
      <w:pPr>
        <w:pStyle w:val="Heading2"/>
        <w:keepNext/>
        <w:spacing w:after="130" w:before="280"/>
      </w:pPr>
      <w:r>
        <w:rPr>
          <w:rFonts w:ascii="Times New Roman" w:eastAsia="微軟正黑體" w:hAnsi="Times New Roman"/>
          <w:b/>
          <w:bCs/>
          <w:sz w:val="25"/>
          <w:szCs w:val="25"/>
        </w:rPr>
        <w:t xml:space="preserve">1.3　新增符號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除下列四個之外，本文不使用任何論文以外的符號。所有加總量一律直接寫成原變數的求和式，不另行命名。</w:t>
      </w:r>
    </w:p>
    <w:tbl>
      <w:tblPr>
        <w:tblW w:type="dxa" w:w="9638"/>
        <w:tblBorders>
          <w:top w:val="single" w:color="9AA5A0" w:sz="4"/>
          <w:left w:val="single" w:color="C8CFCB" w:sz="2"/>
          <w:bottom w:val="single" w:color="9AA5A0" w:sz="4"/>
          <w:right w:val="single" w:color="C8CFCB" w:sz="2"/>
          <w:insideH w:val="single" w:color="C8CFCB" w:sz="2"/>
          <w:insideV w:val="single" w:color="C8CFCB" w:sz="2"/>
        </w:tblBorders>
      </w:tblPr>
      <w:tblGrid>
        <w:gridCol w:w="1100"/>
        <w:gridCol w:w="3900"/>
        <w:gridCol w:w="4638"/>
      </w:tblGrid>
      <w:tr>
        <w:trPr>
          <w:cantSplit/>
          <w:tblHeader/>
        </w:trPr>
        <w:tc>
          <w:tcPr>
            <w:tcW w:type="dxa" w:w="110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符號</w:t>
            </w:r>
          </w:p>
        </w:tc>
        <w:tc>
          <w:tcPr>
            <w:tcW w:type="dxa" w:w="390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4638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θ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s</w:t>
            </w:r>
          </w:p>
        </w:tc>
        <w:tc>
          <w:tcPr>
            <w:tcW w:type="dxa" w:w="3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Benders master 中取代 Q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的代理變數，θ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∈ ℝ</w:t>
            </w:r>
          </w:p>
        </w:tc>
        <w:tc>
          <w:tcPr>
            <w:tcW w:type="dxa" w:w="4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分解演算法的標準構件；master 目標式以 θ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取代式 (1d) 的 Q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q̲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s</w:t>
            </w:r>
          </w:p>
        </w:tc>
        <w:tc>
          <w:tcPr>
            <w:tcW w:type="dxa" w:w="3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q̲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:= Q( x̄ ; ω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per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)</w:t>
            </w:r>
          </w:p>
        </w:tc>
        <w:tc>
          <w:tcPr>
            <w:tcW w:type="dxa" w:w="4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情境 s 第二階段成本的下界。見 VI-6。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q̄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s</w:t>
            </w:r>
          </w:p>
        </w:tc>
        <w:tc>
          <w:tcPr>
            <w:tcW w:type="dxa" w:w="3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q̄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:= Q( 0 ; ω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per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)</w:t>
            </w:r>
          </w:p>
        </w:tc>
        <w:tc>
          <w:tcPr>
            <w:tcW w:type="dxa" w:w="4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情境 s 第二階段成本的上界。見 VI-7。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x̄</w:t>
            </w:r>
          </w:p>
        </w:tc>
        <w:tc>
          <w:tcPr>
            <w:tcW w:type="dxa" w:w="3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x̄ := ( X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=1, V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=v̄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, U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=ū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, 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hj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=min{ s̄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h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, ȳ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} )</w:t>
            </w:r>
          </w:p>
        </w:tc>
        <w:tc>
          <w:tcPr>
            <w:tcW w:type="dxa" w:w="4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第一階段變數的逐分量上界向量。不必為 (2)–(9) 的可行解。</w:t>
            </w:r>
          </w:p>
        </w:tc>
      </w:tr>
    </w:tbl>
    <w:p>
      <w:r>
        <w:br w:type="page"/>
      </w:r>
    </w:p>
    <w:p>
      <w:pPr>
        <w:pStyle w:val="Heading1"/>
        <w:keepNext/>
        <w:spacing w:after="170" w:before="340"/>
      </w:pPr>
      <w:r>
        <w:rPr>
          <w:rFonts w:ascii="Times New Roman" w:eastAsia="微軟正黑體" w:hAnsi="Times New Roman"/>
          <w:b/>
          <w:bCs/>
          <w:sz w:val="30"/>
          <w:szCs w:val="30"/>
        </w:rPr>
        <w:t xml:space="preserve">2　逐條說明</w:t>
      </w:r>
    </w:p>
    <w:p>
      <w:pPr>
        <w:pStyle w:val="Heading2"/>
        <w:keepNext/>
        <w:spacing w:after="130" w:before="280"/>
      </w:pPr>
      <w:r>
        <w:rPr>
          <w:rFonts w:ascii="Times New Roman" w:eastAsia="微軟正黑體" w:hAnsi="Times New Roman"/>
          <w:b/>
          <w:bCs/>
          <w:sz w:val="25"/>
          <w:szCs w:val="25"/>
        </w:rPr>
        <w:t xml:space="preserve">2.1　VI-1　收緊式 (11) 的道路容量係數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位置　</w:t>
      </w:r>
      <w:r>
        <w:rPr>
          <w:rFonts w:ascii="Times New Roman" w:eastAsia="新細明體" w:hAnsi="Times New Roman"/>
          <w:sz w:val="22"/>
          <w:szCs w:val="22"/>
        </w:rPr>
        <w:t xml:space="preserve">第二階段。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取代式 (11) 的右手邊係數，限制式條數不變。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[EXACT] 等價重構。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原式與改寫</w:t>
      </w:r>
    </w:p>
    <w:p>
      <w:pPr>
        <w:keepNext w:val="false"/>
        <w:spacing w:after="30" w:before="9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(11)　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 ≤ c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</w:t>
      </w:r>
      <w:r>
        <w:rPr>
          <w:rFonts w:ascii="Times New Roman" w:eastAsia="新細明體" w:hAnsi="Times New Roman"/>
          <w:sz w:val="22"/>
          <w:szCs w:val="22"/>
        </w:rPr>
        <w:t xml:space="preserve"> 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ijts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</w:p>
    <w:p>
      <w:pPr>
        <w:keepNext/>
        <w:spacing w:after="30" w:before="3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(11′)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 ≤ min{ c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</w:t>
      </w:r>
      <w:r>
        <w:rPr>
          <w:rFonts w:ascii="Times New Roman" w:eastAsia="新細明體" w:hAnsi="Times New Roman"/>
          <w:sz w:val="22"/>
          <w:szCs w:val="22"/>
        </w:rPr>
        <w:t xml:space="preserve"> 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ijts</w:t>
      </w:r>
      <w:r>
        <w:rPr>
          <w:rFonts w:ascii="Times New Roman" w:eastAsia="新細明體" w:hAnsi="Times New Roman"/>
          <w:sz w:val="22"/>
          <w:szCs w:val="22"/>
        </w:rPr>
        <w:t xml:space="preserve">,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  <w:r>
        <w:rPr>
          <w:rFonts w:ascii="Times New Roman" w:eastAsia="新細明體" w:hAnsi="Times New Roman"/>
          <w:sz w:val="22"/>
          <w:szCs w:val="22"/>
        </w:rPr>
        <w:t xml:space="preserve"> }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</w:p>
    <w:p>
      <w:pPr>
        <w:keepNext w:val="false"/>
        <w:spacing w:after="110" w:before="3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　　　　∀i ∈ I,　j ∈ J,　t ∈ T,　s ∈ S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論文論述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需證明改寫前後的可行解集合相同。「(11′) ⟹ (11)」顯然，因為 (11′) 的右手邊不大於 (11) 的右手邊。反向：由 (15)(16) 對 r = 1, …, t 遞推可得</w:t>
      </w:r>
    </w:p>
    <w:p>
      <w:pPr>
        <w:keepNext w:val="false"/>
        <w:spacing w:after="110" w:before="9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ijlr</w:t>
      </w:r>
      <w:r>
        <w:rPr>
          <w:rFonts w:ascii="Times New Roman" w:eastAsia="新細明體" w:hAnsi="Times New Roman"/>
          <w:sz w:val="22"/>
          <w:szCs w:val="22"/>
        </w:rPr>
        <w:t xml:space="preserve">(s) 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  <w:r>
        <w:rPr>
          <w:rFonts w:ascii="Times New Roman" w:eastAsia="新細明體" w:hAnsi="Times New Roman"/>
          <w:sz w:val="22"/>
          <w:szCs w:val="22"/>
        </w:rPr>
        <w:t xml:space="preserve"> −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</w:t>
      </w:r>
      <w:r>
        <w:rPr>
          <w:rFonts w:ascii="Times New Roman" w:eastAsia="新細明體" w:hAnsi="Times New Roman"/>
          <w:sz w:val="22"/>
          <w:szCs w:val="22"/>
        </w:rPr>
        <w:t xml:space="preserve">(s)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最後一步用到 (27) 的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</w:t>
      </w:r>
      <w:r>
        <w:rPr>
          <w:rFonts w:ascii="Times New Roman" w:eastAsia="新細明體" w:hAnsi="Times New Roman"/>
          <w:sz w:val="22"/>
          <w:szCs w:val="22"/>
        </w:rPr>
        <w:t xml:space="preserve">(s) ≥ 0。左式只取 r = t 與單一個 j 這一項（其餘各項非負），再對 l ∈ L 加總，即得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  <w:r>
        <w:rPr>
          <w:rFonts w:ascii="Times New Roman" w:eastAsia="新細明體" w:hAnsi="Times New Roman"/>
          <w:sz w:val="22"/>
          <w:szCs w:val="22"/>
        </w:rPr>
        <w:t xml:space="preserve">。故任何滿足 (11)(15)(16)(27) 的解自動滿足 (11′)，兩式等價。X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0 時兩式皆退化為 0 ≤ 0。　∎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效益：原係數為道路的物理容量，與當期實際可能運送的人數無關；在 t 較小時累積傷患尚少，big-M 遠鬆於實際上限，收緊幅度隨 t 遞減。此式直接提升 LP 鬆弛中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的下界。</w:t>
      </w:r>
    </w:p>
    <w:p>
      <w:pPr>
        <w:pBdr>
          <w:bottom w:val="single" w:color="B8C2BD" w:sz="6"/>
        </w:pBdr>
        <w:spacing w:after="100" w:before="40"/>
      </w:pPr>
    </w:p>
    <w:p>
      <w:pPr>
        <w:pStyle w:val="Heading2"/>
        <w:keepNext/>
        <w:spacing w:after="130" w:before="280"/>
      </w:pPr>
      <w:r>
        <w:rPr>
          <w:rFonts w:ascii="Times New Roman" w:eastAsia="微軟正黑體" w:hAnsi="Times New Roman"/>
          <w:b/>
          <w:bCs/>
          <w:sz w:val="25"/>
          <w:szCs w:val="25"/>
        </w:rPr>
        <w:t xml:space="preserve">2.2　VI-2　收緊式 (12) 的道路容量係數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位置　</w:t>
      </w:r>
      <w:r>
        <w:rPr>
          <w:rFonts w:ascii="Times New Roman" w:eastAsia="新細明體" w:hAnsi="Times New Roman"/>
          <w:sz w:val="22"/>
          <w:szCs w:val="22"/>
        </w:rPr>
        <w:t xml:space="preserve">第二階段。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取代式 (12) 的右手邊係數，限制式條數不變。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[EXACT] 等價重構。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原式與改寫</w:t>
      </w:r>
    </w:p>
    <w:p>
      <w:pPr>
        <w:keepNext w:val="false"/>
        <w:spacing w:after="30" w:before="9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(12)　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c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</w:t>
      </w:r>
      <w:r>
        <w:rPr>
          <w:rFonts w:ascii="Times New Roman" w:eastAsia="新細明體" w:hAnsi="Times New Roman"/>
          <w:sz w:val="22"/>
          <w:szCs w:val="22"/>
        </w:rPr>
        <w:t xml:space="preserve"> w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jhts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</w:p>
    <w:p>
      <w:pPr>
        <w:keepNext/>
        <w:spacing w:after="30" w:before="3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(12′)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min{ c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</w:t>
      </w:r>
      <w:r>
        <w:rPr>
          <w:rFonts w:ascii="Times New Roman" w:eastAsia="新細明體" w:hAnsi="Times New Roman"/>
          <w:sz w:val="22"/>
          <w:szCs w:val="22"/>
        </w:rPr>
        <w:t xml:space="preserve"> w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jhts</w:t>
      </w:r>
      <w:r>
        <w:rPr>
          <w:rFonts w:ascii="Times New Roman" w:eastAsia="新細明體" w:hAnsi="Times New Roman"/>
          <w:sz w:val="22"/>
          <w:szCs w:val="22"/>
        </w:rPr>
        <w:t xml:space="preserve">,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}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</w:p>
    <w:p>
      <w:pPr>
        <w:keepNext w:val="false"/>
        <w:spacing w:after="110" w:before="3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　　　　∀j ∈ J,　h ∈ H,　t ∈ T,　s ∈ S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論文論述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同樣只需證明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為有效上界。固定 l ∈ 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：由 (19)(20)(21) 與 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≥ 0 得</w:t>
      </w:r>
    </w:p>
    <w:p>
      <w:pPr>
        <w:keepNext w:val="false"/>
        <w:spacing w:after="110" w:before="9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j,l,t−1</w:t>
      </w:r>
      <w:r>
        <w:rPr>
          <w:rFonts w:ascii="Times New Roman" w:eastAsia="新細明體" w:hAnsi="Times New Roman"/>
          <w:sz w:val="22"/>
          <w:szCs w:val="22"/>
        </w:rPr>
        <w:t xml:space="preserve">(s) +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(s)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又由 (18)，TRT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j,l,t−1</w:t>
      </w:r>
      <w:r>
        <w:rPr>
          <w:rFonts w:ascii="Times New Roman" w:eastAsia="新細明體" w:hAnsi="Times New Roman"/>
          <w:sz w:val="22"/>
          <w:szCs w:val="22"/>
        </w:rPr>
        <w:t xml:space="preserve">(s) 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r=t−τ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t−1</w:t>
      </w:r>
      <w:r>
        <w:rPr>
          <w:rFonts w:ascii="Times New Roman" w:eastAsia="新細明體" w:hAnsi="Times New Roman"/>
          <w:sz w:val="22"/>
          <w:szCs w:val="22"/>
        </w:rPr>
        <w:t xml:space="preserve">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jlr</w:t>
      </w:r>
      <w:r>
        <w:rPr>
          <w:rFonts w:ascii="Times New Roman" w:eastAsia="新細明體" w:hAnsi="Times New Roman"/>
          <w:sz w:val="22"/>
          <w:szCs w:val="22"/>
        </w:rPr>
        <w:t xml:space="preserve">(s) ≥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(s)，代入 t−1 期的 (22) 得</w:t>
      </w:r>
    </w:p>
    <w:p>
      <w:pPr>
        <w:keepNext w:val="false"/>
        <w:spacing w:after="110" w:before="9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j,l,t−1</w:t>
      </w:r>
      <w:r>
        <w:rPr>
          <w:rFonts w:ascii="Times New Roman" w:eastAsia="新細明體" w:hAnsi="Times New Roman"/>
          <w:sz w:val="22"/>
          <w:szCs w:val="22"/>
        </w:rPr>
        <w:t xml:space="preserve">(s) +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(s) ≤ 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j,l,t−1</w:t>
      </w:r>
      <w:r>
        <w:rPr>
          <w:rFonts w:ascii="Times New Roman" w:eastAsia="新細明體" w:hAnsi="Times New Roman"/>
          <w:sz w:val="22"/>
          <w:szCs w:val="22"/>
        </w:rPr>
        <w:t xml:space="preserve">(s) + 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j,l,t−1</w:t>
      </w:r>
      <w:r>
        <w:rPr>
          <w:rFonts w:ascii="Times New Roman" w:eastAsia="新細明體" w:hAnsi="Times New Roman"/>
          <w:sz w:val="22"/>
          <w:szCs w:val="22"/>
        </w:rPr>
        <w:t xml:space="preserve">(s) ≤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故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。單一個 h 的量不超過對 h 加總的量，再對 l ∈ 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加總即得結論。t − 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&lt; 1 時 REG 項為 0，不等式更鬆，仍成立。　∎</w:t>
      </w:r>
    </w:p>
    <w:p>
      <w:pPr>
        <w:pBdr>
          <w:bottom w:val="single" w:color="B8C2BD" w:sz="6"/>
        </w:pBdr>
        <w:spacing w:after="100" w:before="40"/>
      </w:pPr>
    </w:p>
    <w:p>
      <w:pPr>
        <w:pStyle w:val="Heading2"/>
        <w:keepNext/>
        <w:spacing w:after="130" w:before="280"/>
      </w:pPr>
      <w:r>
        <w:rPr>
          <w:rFonts w:ascii="Times New Roman" w:eastAsia="微軟正黑體" w:hAnsi="Times New Roman"/>
          <w:b/>
          <w:bCs/>
          <w:sz w:val="25"/>
          <w:szCs w:val="25"/>
        </w:rPr>
        <w:t xml:space="preserve">2.3　VI-3　合併式 (14) 與式 (26)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位置　</w:t>
      </w:r>
      <w:r>
        <w:rPr>
          <w:rFonts w:ascii="Times New Roman" w:eastAsia="新細明體" w:hAnsi="Times New Roman"/>
          <w:sz w:val="22"/>
          <w:szCs w:val="22"/>
        </w:rPr>
        <w:t xml:space="preserve">第二階段。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以一條取代 (14) 與 (26) 兩條。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[EXACT] 等價重構。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原式與改寫</w:t>
      </w:r>
    </w:p>
    <w:p>
      <w:pPr>
        <w:keepNext w:val="false"/>
        <w:spacing w:after="30" w:before="9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(14)　　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η b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</w:p>
    <w:p>
      <w:pPr>
        <w:keepNext w:val="false"/>
        <w:spacing w:after="30" w:before="3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(26)　　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h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hts</w:t>
      </w:r>
    </w:p>
    <w:p>
      <w:pPr>
        <w:keepNext/>
        <w:spacing w:after="30" w:before="3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(14–26′)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min{ η b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,　h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hts</w:t>
      </w:r>
      <w:r>
        <w:rPr>
          <w:rFonts w:ascii="Times New Roman" w:eastAsia="新細明體" w:hAnsi="Times New Roman"/>
          <w:sz w:val="22"/>
          <w:szCs w:val="22"/>
        </w:rPr>
        <w:t xml:space="preserve"> }</w:t>
      </w:r>
    </w:p>
    <w:p>
      <w:pPr>
        <w:keepNext w:val="false"/>
        <w:spacing w:after="110" w:before="3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　　　　　∀h ∈ H,　t ∈ T,　s ∈ S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論文論述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兩式的左手邊逐字相同（已核對程式中的 Hosp_AmbCap 與 Hosp_ReceiveCap 兩組限制式），僅右手邊不同。同一個左式同時受兩個上界拘束，等價於受其較小者拘束。此為純粹的代數合併，不需額外論證。　∎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效益：每情境每期每醫院省下一條限制式，共 |H|·|T|·|S| 條；且合併後的單一係數在 LP 鬆弛中比兩條分開更緊。此式同時是 VI-8 中 (8.8) 的來源。</w:t>
      </w:r>
    </w:p>
    <w:p>
      <w:pPr>
        <w:pBdr>
          <w:bottom w:val="single" w:color="B8C2BD" w:sz="6"/>
        </w:pBdr>
        <w:spacing w:after="100" w:before="40"/>
      </w:pPr>
    </w:p>
    <w:p>
      <w:pPr>
        <w:pStyle w:val="Heading2"/>
        <w:keepNext/>
        <w:spacing w:after="130" w:before="280"/>
      </w:pPr>
      <w:r>
        <w:rPr>
          <w:rFonts w:ascii="Times New Roman" w:eastAsia="微軟正黑體" w:hAnsi="Times New Roman"/>
          <w:b/>
          <w:bCs/>
          <w:sz w:val="25"/>
          <w:szCs w:val="25"/>
        </w:rPr>
        <w:t xml:space="preserve">2.4　VI-4　收緊式 (5) 的醫護配置上界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位置　</w:t>
      </w:r>
      <w:r>
        <w:rPr>
          <w:rFonts w:ascii="Times New Roman" w:eastAsia="新細明體" w:hAnsi="Times New Roman"/>
          <w:sz w:val="22"/>
          <w:szCs w:val="22"/>
        </w:rPr>
        <w:t xml:space="preserve">第一階段。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取代式 (5) 的右手邊係數。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[OPT] 保最佳性　—　此式會切掉可行解，論文中必須論證。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原式與改寫</w:t>
      </w:r>
    </w:p>
    <w:p>
      <w:pPr>
        <w:keepNext w:val="false"/>
        <w:spacing w:after="30" w:before="9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(5)　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v̄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</w:p>
    <w:p>
      <w:pPr>
        <w:keepNext w:val="false"/>
        <w:spacing w:after="110" w:before="3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(5′)　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min{ v̄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</w:t>
      </w:r>
      <w:r>
        <w:rPr>
          <w:rFonts w:ascii="Cambria Math" w:cs="Cambria Math" w:eastAsia="Cambria Math" w:hAnsi="Cambria Math" w:hint="default"/>
          <w:sz w:val="22"/>
          <w:szCs w:val="22"/>
        </w:rPr>
        <w:t xml:space="preserve">⌈</w:t>
      </w:r>
      <w:r>
        <w:rPr>
          <w:rFonts w:ascii="Times New Roman" w:eastAsia="新細明體" w:hAnsi="Times New Roman"/>
          <w:sz w:val="22"/>
          <w:szCs w:val="22"/>
        </w:rPr>
        <w:t xml:space="preserve">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/α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Cambria Math" w:cs="Cambria Math" w:eastAsia="Cambria Math" w:hAnsi="Cambria Math" w:hint="default"/>
          <w:sz w:val="22"/>
          <w:szCs w:val="22"/>
        </w:rPr>
        <w:t xml:space="preserve">⌉</w:t>
      </w:r>
      <w:r>
        <w:rPr>
          <w:rFonts w:ascii="Times New Roman" w:eastAsia="新細明體" w:hAnsi="Times New Roman"/>
          <w:sz w:val="22"/>
          <w:szCs w:val="22"/>
        </w:rPr>
        <w:t xml:space="preserve"> }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　∀j ∈ J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論文論述（交換論證）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由 (22)(23) 得 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≤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，代入 (24) 的左式：</w:t>
      </w:r>
    </w:p>
    <w:p>
      <w:pPr>
        <w:keepNext w:val="false"/>
        <w:spacing w:after="110" w:before="9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/ 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/ 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即式 (24) 對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的實質需求恆不超過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/α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；因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為整數，可取上取整。設 (X*, V*, U*, Y*) 為最佳解且某 j 的 V*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超過該值，令 V′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min{ V*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 </w:t>
      </w:r>
      <w:r>
        <w:rPr>
          <w:rFonts w:ascii="Cambria Math" w:cs="Cambria Math" w:eastAsia="Cambria Math" w:hAnsi="Cambria Math" w:hint="default"/>
          <w:sz w:val="22"/>
          <w:szCs w:val="22"/>
        </w:rPr>
        <w:t xml:space="preserve">⌈</w:t>
      </w:r>
      <w:r>
        <w:rPr>
          <w:rFonts w:ascii="Times New Roman" w:eastAsia="新細明體" w:hAnsi="Times New Roman"/>
          <w:sz w:val="22"/>
          <w:szCs w:val="22"/>
        </w:rPr>
        <w:t xml:space="preserve">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/α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Cambria Math" w:cs="Cambria Math" w:eastAsia="Cambria Math" w:hAnsi="Cambria Math" w:hint="default"/>
          <w:sz w:val="22"/>
          <w:szCs w:val="22"/>
        </w:rPr>
        <w:t xml:space="preserve">⌉</w:t>
      </w:r>
      <w:r>
        <w:rPr>
          <w:rFonts w:ascii="Times New Roman" w:eastAsia="新細明體" w:hAnsi="Times New Roman"/>
          <w:sz w:val="22"/>
          <w:szCs w:val="22"/>
        </w:rPr>
        <w:t xml:space="preserve"> }，其餘分量不變。則：(24) 仍成立（右式仍不小於左式的最大可能值）；(2) 與 (5) 皆為上界型限制式，下修必不違反；第二階段完全不受影響，故各情境的 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不變。目標式中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的係數 cv &gt; 0，新解的目標值嚴格較低，與最佳性矛盾。故存在（事實上每一個）最佳解滿足 (5′)。　∎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前提：α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為確定性參數。若日後改為情境相依的隨機參數，須改取 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s∈S</w:t>
      </w:r>
      <w:r>
        <w:rPr>
          <w:rFonts w:ascii="Times New Roman" w:eastAsia="新細明體" w:hAnsi="Times New Roman"/>
          <w:sz w:val="22"/>
          <w:szCs w:val="22"/>
        </w:rPr>
        <w:t xml:space="preserve"> 後再上取整。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效益：以 config.py 目前的參數（k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= 143 / 43 / 14，α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= 3 / 2 / 1，v̄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104）計算，Σ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/α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= 143/3 + 43/2 + 14 ≈ 83.17，上取整為 84，上界由 104 收緊至 84（約 −19%）。</w:t>
      </w:r>
    </w:p>
    <w:p>
      <w:pPr>
        <w:pBdr>
          <w:bottom w:val="single" w:color="B8C2BD" w:sz="6"/>
        </w:pBdr>
        <w:spacing w:after="100" w:before="40"/>
      </w:pPr>
    </w:p>
    <w:p>
      <w:pPr>
        <w:pStyle w:val="Heading2"/>
        <w:keepNext/>
        <w:spacing w:after="130" w:before="280"/>
      </w:pPr>
      <w:r>
        <w:rPr>
          <w:rFonts w:ascii="Times New Roman" w:eastAsia="微軟正黑體" w:hAnsi="Times New Roman"/>
          <w:b/>
          <w:bCs/>
          <w:sz w:val="25"/>
          <w:szCs w:val="25"/>
        </w:rPr>
        <w:t xml:space="preserve">2.5　VI-5　開站使用連結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位置　</w:t>
      </w:r>
      <w:r>
        <w:rPr>
          <w:rFonts w:ascii="Times New Roman" w:eastAsia="新細明體" w:hAnsi="Times New Roman"/>
          <w:sz w:val="22"/>
          <w:szCs w:val="22"/>
        </w:rPr>
        <w:t xml:space="preserve">第一階段。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新增。為 (5)(7) 的反向補強：(5)(7) 說「未開站就不能配置」，此式說「開了站就必須配置」。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[OPT] 保最佳性。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式子</w:t>
      </w:r>
    </w:p>
    <w:p>
      <w:pPr>
        <w:keepNext w:val="false"/>
        <w:spacing w:after="30" w:before="9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　　　　　　 ∀j ∈ J</w:t>
      </w:r>
    </w:p>
    <w:p>
      <w:pPr>
        <w:keepNext w:val="false"/>
        <w:spacing w:after="110" w:before="3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,　　∀j ∈ J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論文論述（反證）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設最佳解中某 j 有 X*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1 但 V*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0。由 (24) 得 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= 0 對所有 l, t, s 成立；由 (18) 取 r = t 得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= 0；由 (17) 與 FI ≥ 0 得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 = 0；再由 (19)(20)(21) 得 WAT 與 FO 皆為 0。即 CCP j 在所有情境中完全未被使用。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此時令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0、U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0、Y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= 0（V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已為 0）。(5)(6)(7) 的兩側同為 0；(2)(3)(4) 的左式只減不增；所有第二階段限制式中與 j 相關的變數本已為 0，故新解可行，且各情境的 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完全不變。第一階段成本至少減少 f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&gt; 0。因第一階段成本在目標式 (1a) 中為可加項、且 (1a) 對 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單調不減，總目標值嚴格下降 —— SP、MCVaR、DRO 三種設定皆然 —— 與最佳性矛盾。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故最佳解中 X*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1 蘊含存在某 (l, t, s) 使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&gt; 0。此時由 (18) 得 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≥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&gt; 0，代入 (24) 得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&gt; 0；因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∈ ℤ₊，故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≥ 1。同理 (25) 的左式為正，得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&gt; 0，因其為整數之和，故 ≥ 1。　∎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須一併說明：此式無法由求解器的 presolve 自行推得。presolve 只做邏輯蘊含的推導，而上述論證用到「f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&gt; 0 故不會開空殼站」這種最佳性比較，超出 presolve 的能力範圍。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前提：f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&gt; 0，且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、Y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為整數變數（已核對程式：兩者皆宣告為 GRB.INTEGER）。若改為連續變數，論證只能得到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&gt; 0 而非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≥ 1，此式即不成立。</w:t>
      </w:r>
    </w:p>
    <w:p>
      <w:pPr>
        <w:pBdr>
          <w:bottom w:val="single" w:color="B8C2BD" w:sz="6"/>
        </w:pBdr>
        <w:spacing w:after="100" w:before="40"/>
      </w:pPr>
    </w:p>
    <w:p>
      <w:pPr>
        <w:pStyle w:val="Heading2"/>
        <w:keepNext/>
        <w:spacing w:after="130" w:before="280"/>
      </w:pPr>
      <w:r>
        <w:rPr>
          <w:rFonts w:ascii="Times New Roman" w:eastAsia="微軟正黑體" w:hAnsi="Times New Roman"/>
          <w:b/>
          <w:bCs/>
          <w:sz w:val="25"/>
          <w:szCs w:val="25"/>
        </w:rPr>
        <w:t xml:space="preserve">2.6　VI-6　θ</w:t>
      </w:r>
      <w:r>
        <w:rPr>
          <w:rFonts w:ascii="Times New Roman" w:eastAsia="微軟正黑體" w:hAnsi="Times New Roman"/>
          <w:b/>
          <w:bCs/>
          <w:sz w:val="25"/>
          <w:szCs w:val="25"/>
          <w:vertAlign w:val="subscript"/>
        </w:rPr>
        <w:t xml:space="preserve">s</w:t>
      </w:r>
      <w:r>
        <w:rPr>
          <w:rFonts w:ascii="Times New Roman" w:eastAsia="微軟正黑體" w:hAnsi="Times New Roman"/>
          <w:b/>
          <w:bCs/>
          <w:sz w:val="25"/>
          <w:szCs w:val="25"/>
        </w:rPr>
        <w:t xml:space="preserve"> 的情境下界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位置　</w:t>
      </w:r>
      <w:r>
        <w:rPr>
          <w:rFonts w:ascii="Times New Roman" w:eastAsia="新細明體" w:hAnsi="Times New Roman"/>
          <w:sz w:val="22"/>
          <w:szCs w:val="22"/>
        </w:rPr>
        <w:t xml:space="preserve">Benders master。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新增（θ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的變數下界）。不影響原模型任何一條限制式。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[RELAX] 鬆弛下界。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式子</w:t>
      </w:r>
    </w:p>
    <w:p>
      <w:pPr>
        <w:keepNext w:val="false"/>
        <w:spacing w:after="30" w:before="9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≥ q̲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:= Q( x̄ ; 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),　　∀s ∈ S</w:t>
      </w:r>
    </w:p>
    <w:p>
      <w:pPr>
        <w:keepNext w:val="false"/>
        <w:spacing w:after="110" w:before="3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其中　x̄ := (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1,　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v̄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ū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= min{ s̄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, ȳ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} )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論文論述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第一階段變數在第二階段限制式 (11)(12)(13)(22)(23)(24)(25) 中，一律僅以非負係數出現於右手邊，故第二階段可行域對 x 單調擴張，函數 Q(·; 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 對 x 逐分量非增。x̄ 為第一階段各變數的逐分量上界，因此對任何第一階段可行解 x 皆有 Q(x; 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 ≥ Q(x̄; 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 = q̲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。master 的最佳解必滿足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= Q(x; 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)，故此下界對所有可行 x 有效，不切掉任何解。　∎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實作註記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x̄ 違反資源池限制式 (2)(3)(4)，故計算 q̲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時必須暫時把這三條的右手邊放寬至 +∞。這是合法的：Q(x; 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 的定義只把 x 當作第二階段的右手邊參數，並不要求 x 屬於第一階段可行域。q̲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於求解前一次算完（每情境一個 LP），之後即為常數。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論文中的意義：本模型具 relatively complete recourse（式 (15)(16) 允許傷患滯留災區並在 (10) 中付罰金，而非硬性服務限制），因此未加任何切割時 master 的 LP 鬆弛最佳值恰為 0、一階解全為零。此式給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一個立即可用的非零下界，是所有下界式中成本最低的一條。</w:t>
      </w:r>
    </w:p>
    <w:p>
      <w:pPr>
        <w:pBdr>
          <w:bottom w:val="single" w:color="B8C2BD" w:sz="6"/>
        </w:pBdr>
        <w:spacing w:after="100" w:before="40"/>
      </w:pPr>
    </w:p>
    <w:p>
      <w:pPr>
        <w:pStyle w:val="Heading2"/>
        <w:keepNext/>
        <w:spacing w:after="130" w:before="280"/>
      </w:pPr>
      <w:r>
        <w:rPr>
          <w:rFonts w:ascii="Times New Roman" w:eastAsia="微軟正黑體" w:hAnsi="Times New Roman"/>
          <w:b/>
          <w:bCs/>
          <w:sz w:val="25"/>
          <w:szCs w:val="25"/>
        </w:rPr>
        <w:t xml:space="preserve">2.7　VI-7　θ</w:t>
      </w:r>
      <w:r>
        <w:rPr>
          <w:rFonts w:ascii="Times New Roman" w:eastAsia="微軟正黑體" w:hAnsi="Times New Roman"/>
          <w:b/>
          <w:bCs/>
          <w:sz w:val="25"/>
          <w:szCs w:val="25"/>
          <w:vertAlign w:val="subscript"/>
        </w:rPr>
        <w:t xml:space="preserve">s</w:t>
      </w:r>
      <w:r>
        <w:rPr>
          <w:rFonts w:ascii="Times New Roman" w:eastAsia="微軟正黑體" w:hAnsi="Times New Roman"/>
          <w:b/>
          <w:bCs/>
          <w:sz w:val="25"/>
          <w:szCs w:val="25"/>
        </w:rPr>
        <w:t xml:space="preserve"> 的情境上界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位置　</w:t>
      </w:r>
      <w:r>
        <w:rPr>
          <w:rFonts w:ascii="Times New Roman" w:eastAsia="新細明體" w:hAnsi="Times New Roman"/>
          <w:sz w:val="22"/>
          <w:szCs w:val="22"/>
        </w:rPr>
        <w:t xml:space="preserve">Benders master。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新增（θ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的變數上界）。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[OPT] 保最佳性。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式子</w:t>
      </w:r>
    </w:p>
    <w:p>
      <w:pPr>
        <w:keepNext w:val="false"/>
        <w:spacing w:after="110" w:before="9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≤ q̄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:= Q( 0 ; 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) 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t∈T</w:t>
      </w:r>
      <w:r>
        <w:rPr>
          <w:rFonts w:ascii="Times New Roman" w:eastAsia="新細明體" w:hAnsi="Times New Roman"/>
          <w:sz w:val="22"/>
          <w:szCs w:val="22"/>
        </w:rPr>
        <w:t xml:space="preserve"> ρ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(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  <w:r>
        <w:rPr>
          <w:rFonts w:ascii="Times New Roman" w:eastAsia="新細明體" w:hAnsi="Times New Roman"/>
          <w:sz w:val="22"/>
          <w:szCs w:val="22"/>
        </w:rPr>
        <w:t xml:space="preserve"> ),　　∀s ∈ S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論文論述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先給閉式。令第一階段解全為 0：由 (11)(12) 得 FI = FO = 0；由 (17)(18) 得 REG = TRT = 0；由 (19)(20)(21) 得 WAT = 0；由 (15)(16) 得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</w:t>
      </w:r>
      <w:r>
        <w:rPr>
          <w:rFonts w:ascii="Times New Roman" w:eastAsia="新細明體" w:hAnsi="Times New Roman"/>
          <w:sz w:val="22"/>
          <w:szCs w:val="22"/>
        </w:rPr>
        <w:t xml:space="preserve">(s) 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  <w:r>
        <w:rPr>
          <w:rFonts w:ascii="Times New Roman" w:eastAsia="新細明體" w:hAnsi="Times New Roman"/>
          <w:sz w:val="22"/>
          <w:szCs w:val="22"/>
        </w:rPr>
        <w:t xml:space="preserve">。代入 (10) 僅第一項非零，即得上式 —— 不需求解任何 LP。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再論保最佳性。由 VI-6 所述的單調性，任何第一階段可行解皆滿足 x ≥ 0，故 Q(x; 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 ≤ Q(0; 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 = q̄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。最佳解必有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= Q(x*; 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 ≤ q̄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，故此上界保留至少一個最佳解。　∎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必須誠實說明的限制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master 為極小化問題，θ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本來就被壓低，此上界在 LP 鬆弛中不會作用，對下界沒有直接貢獻。保留它的理由有二：其一，與 VI-6 合成一個有限的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box，有利於 presolve 與數值穩定；其二，它是日後推導 DRO 對偶變數界的前提。實作成本為零（閉式，不需求解），故納入。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前提：此閉式依賴 (10) 的目標式結構。若日後在 (10) 中加入其他懲罰項（例如對未服務傷患的一次性固定罰金），公式必須同步修改，否則會給出錯誤的上界而切掉最佳解。</w:t>
      </w:r>
    </w:p>
    <w:p>
      <w:pPr>
        <w:pBdr>
          <w:bottom w:val="single" w:color="B8C2BD" w:sz="6"/>
        </w:pBdr>
        <w:spacing w:after="100" w:before="40"/>
      </w:pPr>
    </w:p>
    <w:p>
      <w:pPr>
        <w:pStyle w:val="Heading2"/>
        <w:keepNext/>
        <w:spacing w:after="130" w:before="280"/>
      </w:pPr>
      <w:r>
        <w:rPr>
          <w:rFonts w:ascii="Times New Roman" w:eastAsia="微軟正黑體" w:hAnsi="Times New Roman"/>
          <w:b/>
          <w:bCs/>
          <w:sz w:val="25"/>
          <w:szCs w:val="25"/>
        </w:rPr>
        <w:t xml:space="preserve">2.8　VI-8　每情境彙總鬆弛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位置　</w:t>
      </w:r>
      <w:r>
        <w:rPr>
          <w:rFonts w:ascii="Times New Roman" w:eastAsia="新細明體" w:hAnsi="Times New Roman"/>
          <w:sz w:val="22"/>
          <w:szCs w:val="22"/>
        </w:rPr>
        <w:t xml:space="preserve">Benders master。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新增。為第二階段限制式 (13)–(26) 對空間索引 i, j, h 加總後的投影，不取代任何一條原限制式。</w:t>
      </w:r>
    </w:p>
    <w:p>
      <w:pPr>
        <w:keepNext/>
        <w:spacing w:after="70" w:line="30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[RELAX] 鬆弛下界。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概念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原模型追蹤的是「災區 3 的重傷患，第 2 期送到 CCP 7」這種細節。本族把「誰送到哪」整個丟掉，只保留總量：「全系統的重傷患，第 2 期總共有幾個被送進 CCP」。地圖被壓成一張只有「期別 × 嚴重度」的表。原本 FI 有 |I|·|J|·|L|·|T| 個變數（以 |I|=70, |J|=20, |L|=3, |T|=8 計為 33,600 個），攤平後只剩 |L|·|T| = 24 個，master 塞得下。保留的是人數守恆與總容量限制，丟掉的是空間結構與配對問題。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式子（全部只用論文原符號）</w:t>
      </w:r>
    </w:p>
    <w:p>
      <w:pPr>
        <w:keepNext/>
        <w:spacing w:after="30" w:before="9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(8.1)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RM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ilt</w:t>
      </w:r>
      <w:r>
        <w:rPr>
          <w:rFonts w:ascii="Times New Roman" w:eastAsia="新細明體" w:hAnsi="Times New Roman"/>
          <w:sz w:val="20"/>
          <w:szCs w:val="20"/>
        </w:rPr>
        <w:t xml:space="preserve">(s) =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RM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i,l,t−1</w:t>
      </w:r>
      <w:r>
        <w:rPr>
          <w:rFonts w:ascii="Times New Roman" w:eastAsia="新細明體" w:hAnsi="Times New Roman"/>
          <w:sz w:val="20"/>
          <w:szCs w:val="20"/>
        </w:rPr>
        <w:t xml:space="preserve">(s) +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ξ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ilts</w:t>
      </w:r>
      <w:r>
        <w:rPr>
          <w:rFonts w:ascii="Times New Roman" w:eastAsia="新細明體" w:hAnsi="Times New Roman"/>
          <w:sz w:val="20"/>
          <w:szCs w:val="20"/>
        </w:rPr>
        <w:t xml:space="preserve"> −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ijlt</w:t>
      </w:r>
      <w:r>
        <w:rPr>
          <w:rFonts w:ascii="Times New Roman" w:eastAsia="新細明體" w:hAnsi="Times New Roman"/>
          <w:sz w:val="20"/>
          <w:szCs w:val="20"/>
        </w:rPr>
        <w:t xml:space="preserve">(s)</w:t>
      </w:r>
    </w:p>
    <w:p>
      <w:pPr>
        <w:keepNext w:val="false"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　　　　　l ∈ L,　t ∈ T；　初始條件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RM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il0</w:t>
      </w:r>
      <w:r>
        <w:rPr>
          <w:rFonts w:ascii="Times New Roman" w:eastAsia="新細明體" w:hAnsi="Times New Roman"/>
          <w:sz w:val="20"/>
          <w:szCs w:val="20"/>
        </w:rPr>
        <w:t xml:space="preserve">(s) = 0</w:t>
      </w:r>
    </w:p>
    <w:p>
      <w:pPr>
        <w:keepNext w:val="false"/>
        <w:spacing w:after="30" w:before="30" w:line="300"/>
        <w:ind w:left="510"/>
      </w:pPr>
    </w:p>
    <w:p>
      <w:pPr>
        <w:keepNext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(8.2)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WAT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jlt</w:t>
      </w:r>
      <w:r>
        <w:rPr>
          <w:rFonts w:ascii="Times New Roman" w:eastAsia="新細明體" w:hAnsi="Times New Roman"/>
          <w:sz w:val="20"/>
          <w:szCs w:val="20"/>
        </w:rPr>
        <w:t xml:space="preserve">(s) =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WAT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j,l,t−1</w:t>
      </w:r>
      <w:r>
        <w:rPr>
          <w:rFonts w:ascii="Times New Roman" w:eastAsia="新細明體" w:hAnsi="Times New Roman"/>
          <w:sz w:val="20"/>
          <w:szCs w:val="20"/>
        </w:rPr>
        <w:t xml:space="preserve">(s) +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ijl,t−τl</w:t>
      </w:r>
      <w:r>
        <w:rPr>
          <w:rFonts w:ascii="Times New Roman" w:eastAsia="新細明體" w:hAnsi="Times New Roman"/>
          <w:sz w:val="20"/>
          <w:szCs w:val="20"/>
        </w:rPr>
        <w:t xml:space="preserve">(s)</w:t>
      </w:r>
    </w:p>
    <w:p>
      <w:pPr>
        <w:keepNext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　　　　　　　　　　　　　　−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h∈H</w:t>
      </w:r>
      <w:r>
        <w:rPr>
          <w:rFonts w:ascii="Times New Roman" w:eastAsia="新細明體" w:hAnsi="Times New Roman"/>
          <w:sz w:val="20"/>
          <w:szCs w:val="20"/>
        </w:rPr>
        <w:t xml:space="preserve"> FO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jhlt</w:t>
      </w:r>
      <w:r>
        <w:rPr>
          <w:rFonts w:ascii="Times New Roman" w:eastAsia="新細明體" w:hAnsi="Times New Roman"/>
          <w:sz w:val="20"/>
          <w:szCs w:val="20"/>
        </w:rPr>
        <w:t xml:space="preserve">(s)</w:t>
      </w:r>
    </w:p>
    <w:p>
      <w:pPr>
        <w:keepNext w:val="false"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　　　　　l ∈ 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,　t ∈ T；　初始條件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WAT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jl0</w:t>
      </w:r>
      <w:r>
        <w:rPr>
          <w:rFonts w:ascii="Times New Roman" w:eastAsia="新細明體" w:hAnsi="Times New Roman"/>
          <w:sz w:val="20"/>
          <w:szCs w:val="20"/>
        </w:rPr>
        <w:t xml:space="preserve">(s) = 0；　t − τ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 &lt; 1 時第三項為 0</w:t>
      </w:r>
    </w:p>
    <w:p>
      <w:pPr>
        <w:keepNext w:val="false"/>
        <w:spacing w:after="30" w:before="30" w:line="300"/>
        <w:ind w:left="510"/>
      </w:pPr>
    </w:p>
    <w:p>
      <w:pPr>
        <w:keepNext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(8.3)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r=max(1,t−τl+1)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ijlr</w:t>
      </w:r>
      <w:r>
        <w:rPr>
          <w:rFonts w:ascii="Times New Roman" w:eastAsia="新細明體" w:hAnsi="Times New Roman"/>
          <w:sz w:val="20"/>
          <w:szCs w:val="20"/>
        </w:rPr>
        <w:t xml:space="preserve">(s) +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WAT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jlt</w:t>
      </w:r>
      <w:r>
        <w:rPr>
          <w:rFonts w:ascii="Times New Roman" w:eastAsia="新細明體" w:hAnsi="Times New Roman"/>
          <w:sz w:val="20"/>
          <w:szCs w:val="20"/>
        </w:rPr>
        <w:t xml:space="preserve">(s) 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k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jl</w:t>
      </w:r>
      <w:r>
        <w:rPr>
          <w:rFonts w:ascii="Times New Roman" w:eastAsia="新細明體" w:hAnsi="Times New Roman"/>
          <w:sz w:val="20"/>
          <w:szCs w:val="20"/>
        </w:rPr>
        <w:t xml:space="preserve"> X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</w:t>
      </w:r>
    </w:p>
    <w:p>
      <w:pPr>
        <w:keepNext w:val="false"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　　　　　l ∈ 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,　t ∈ T</w:t>
      </w:r>
    </w:p>
    <w:p>
      <w:pPr>
        <w:keepNext w:val="false"/>
        <w:spacing w:after="30" w:before="30" w:line="300"/>
        <w:ind w:left="510"/>
      </w:pPr>
    </w:p>
    <w:p>
      <w:pPr>
        <w:keepNext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(8.4)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r=max(1,t−τl+1)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ijlr</w:t>
      </w:r>
      <w:r>
        <w:rPr>
          <w:rFonts w:ascii="Times New Roman" w:eastAsia="新細明體" w:hAnsi="Times New Roman"/>
          <w:sz w:val="20"/>
          <w:szCs w:val="20"/>
        </w:rPr>
        <w:t xml:space="preserve">(s) 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k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jl</w:t>
      </w:r>
      <w:r>
        <w:rPr>
          <w:rFonts w:ascii="Times New Roman" w:eastAsia="新細明體" w:hAnsi="Times New Roman"/>
          <w:sz w:val="20"/>
          <w:szCs w:val="20"/>
        </w:rPr>
        <w:t xml:space="preserve"> X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</w:t>
      </w:r>
    </w:p>
    <w:p>
      <w:pPr>
        <w:keepNext w:val="false"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　　　　　l ∈ L ∖ 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,　t ∈ T</w:t>
      </w:r>
    </w:p>
    <w:p>
      <w:pPr>
        <w:keepNext w:val="false"/>
        <w:spacing w:after="30" w:before="30" w:line="300"/>
        <w:ind w:left="510"/>
      </w:pPr>
    </w:p>
    <w:p>
      <w:pPr>
        <w:keepNext w:val="false"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(8.5)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l∈L</w:t>
      </w:r>
      <w:r>
        <w:rPr>
          <w:rFonts w:ascii="Times New Roman" w:eastAsia="新細明體" w:hAnsi="Times New Roman"/>
          <w:sz w:val="20"/>
          <w:szCs w:val="20"/>
        </w:rPr>
        <w:t xml:space="preserve"> (1/α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)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r=max(1,t−τl+1)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ijlr</w:t>
      </w:r>
      <w:r>
        <w:rPr>
          <w:rFonts w:ascii="Times New Roman" w:eastAsia="新細明體" w:hAnsi="Times New Roman"/>
          <w:sz w:val="20"/>
          <w:szCs w:val="20"/>
        </w:rPr>
        <w:t xml:space="preserve">(s) 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V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</w:t>
      </w:r>
      <w:r>
        <w:rPr>
          <w:rFonts w:ascii="Times New Roman" w:eastAsia="新細明體" w:hAnsi="Times New Roman"/>
          <w:sz w:val="20"/>
          <w:szCs w:val="20"/>
        </w:rPr>
        <w:t xml:space="preserve">　　t ∈ T</w:t>
      </w:r>
    </w:p>
    <w:p>
      <w:pPr>
        <w:keepNext w:val="false"/>
        <w:spacing w:after="30" w:before="30" w:line="300"/>
        <w:ind w:left="510"/>
      </w:pPr>
    </w:p>
    <w:p>
      <w:pPr>
        <w:keepNext w:val="false"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(8.6)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l∈L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ijlt</w:t>
      </w:r>
      <w:r>
        <w:rPr>
          <w:rFonts w:ascii="Times New Roman" w:eastAsia="新細明體" w:hAnsi="Times New Roman"/>
          <w:sz w:val="20"/>
          <w:szCs w:val="20"/>
        </w:rPr>
        <w:t xml:space="preserve">(s) ≤ κ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U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</w:t>
      </w:r>
      <w:r>
        <w:rPr>
          <w:rFonts w:ascii="Times New Roman" w:eastAsia="新細明體" w:hAnsi="Times New Roman"/>
          <w:sz w:val="20"/>
          <w:szCs w:val="20"/>
        </w:rPr>
        <w:t xml:space="preserve">　　t ∈ T</w:t>
      </w:r>
    </w:p>
    <w:p>
      <w:pPr>
        <w:keepNext w:val="false"/>
        <w:spacing w:after="30" w:before="30" w:line="300"/>
        <w:ind w:left="510"/>
      </w:pPr>
    </w:p>
    <w:p>
      <w:pPr>
        <w:keepNext w:val="false"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(8.7)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t∈T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l∈L</w:t>
      </w:r>
      <w:r>
        <w:rPr>
          <w:rFonts w:ascii="Times New Roman" w:eastAsia="新細明體" w:hAnsi="Times New Roman"/>
          <w:sz w:val="20"/>
          <w:szCs w:val="20"/>
        </w:rPr>
        <w:t xml:space="preserve"> β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ijlt</w:t>
      </w:r>
      <w:r>
        <w:rPr>
          <w:rFonts w:ascii="Times New Roman" w:eastAsia="新細明體" w:hAnsi="Times New Roman"/>
          <w:sz w:val="20"/>
          <w:szCs w:val="20"/>
        </w:rPr>
        <w:t xml:space="preserve">(s) 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h∈H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Y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hj</w:t>
      </w:r>
    </w:p>
    <w:p>
      <w:pPr>
        <w:keepNext w:val="false"/>
        <w:spacing w:after="30" w:before="30" w:line="300"/>
        <w:ind w:left="510"/>
      </w:pPr>
    </w:p>
    <w:p>
      <w:pPr>
        <w:keepNext w:val="false"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(8.8)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l∈L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h∈H</w:t>
      </w:r>
      <w:r>
        <w:rPr>
          <w:rFonts w:ascii="Times New Roman" w:eastAsia="新細明體" w:hAnsi="Times New Roman"/>
          <w:sz w:val="20"/>
          <w:szCs w:val="20"/>
        </w:rPr>
        <w:t xml:space="preserve"> FO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jhlt</w:t>
      </w:r>
      <w:r>
        <w:rPr>
          <w:rFonts w:ascii="Times New Roman" w:eastAsia="新細明體" w:hAnsi="Times New Roman"/>
          <w:sz w:val="20"/>
          <w:szCs w:val="20"/>
        </w:rPr>
        <w:t xml:space="preserve">(s) 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h∈H</w:t>
      </w:r>
      <w:r>
        <w:rPr>
          <w:rFonts w:ascii="Times New Roman" w:eastAsia="新細明體" w:hAnsi="Times New Roman"/>
          <w:sz w:val="20"/>
          <w:szCs w:val="20"/>
        </w:rPr>
        <w:t xml:space="preserve"> min{ η b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</w:t>
      </w:r>
      <w:r>
        <w:rPr>
          <w:rFonts w:ascii="Times New Roman" w:eastAsia="新細明體" w:hAnsi="Times New Roman"/>
          <w:sz w:val="20"/>
          <w:szCs w:val="20"/>
        </w:rPr>
        <w:t xml:space="preserve">,　h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hts</w:t>
      </w:r>
      <w:r>
        <w:rPr>
          <w:rFonts w:ascii="Times New Roman" w:eastAsia="新細明體" w:hAnsi="Times New Roman"/>
          <w:sz w:val="20"/>
          <w:szCs w:val="20"/>
        </w:rPr>
        <w:t xml:space="preserve"> }　　t ∈ T</w:t>
      </w:r>
    </w:p>
    <w:p>
      <w:pPr>
        <w:keepNext w:val="false"/>
        <w:spacing w:after="30" w:before="30" w:line="300"/>
        <w:ind w:left="510"/>
      </w:pPr>
    </w:p>
    <w:p>
      <w:pPr>
        <w:keepNext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(8.9)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l∈L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ijlt</w:t>
      </w:r>
      <w:r>
        <w:rPr>
          <w:rFonts w:ascii="Times New Roman" w:eastAsia="新細明體" w:hAnsi="Times New Roman"/>
          <w:sz w:val="20"/>
          <w:szCs w:val="20"/>
        </w:rPr>
        <w:t xml:space="preserve">(s)</w:t>
      </w:r>
    </w:p>
    <w:p>
      <w:pPr>
        <w:keepNext w:val="false"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　　　　　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(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min{ c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</w:t>
      </w:r>
      <w:r>
        <w:rPr>
          <w:rFonts w:ascii="Times New Roman" w:eastAsia="新細明體" w:hAnsi="Times New Roman"/>
          <w:sz w:val="20"/>
          <w:szCs w:val="20"/>
        </w:rPr>
        <w:t xml:space="preserve"> u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ijts</w:t>
      </w:r>
      <w:r>
        <w:rPr>
          <w:rFonts w:ascii="Times New Roman" w:eastAsia="新細明體" w:hAnsi="Times New Roman"/>
          <w:sz w:val="20"/>
          <w:szCs w:val="20"/>
        </w:rPr>
        <w:t xml:space="preserve">,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l′∈L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r=1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ξ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il′rs</w:t>
      </w:r>
      <w:r>
        <w:rPr>
          <w:rFonts w:ascii="Times New Roman" w:eastAsia="新細明體" w:hAnsi="Times New Roman"/>
          <w:sz w:val="20"/>
          <w:szCs w:val="20"/>
        </w:rPr>
        <w:t xml:space="preserve"> } ) X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</w:t>
      </w:r>
      <w:r>
        <w:rPr>
          <w:rFonts w:ascii="Times New Roman" w:eastAsia="新細明體" w:hAnsi="Times New Roman"/>
          <w:sz w:val="20"/>
          <w:szCs w:val="20"/>
        </w:rPr>
        <w:t xml:space="preserve">　　t ∈ T</w:t>
      </w:r>
    </w:p>
    <w:p>
      <w:pPr>
        <w:keepNext w:val="false"/>
        <w:spacing w:after="30" w:before="30" w:line="300"/>
        <w:ind w:left="510"/>
      </w:pPr>
    </w:p>
    <w:p>
      <w:pPr>
        <w:keepNext/>
        <w:spacing w:after="3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(8.10)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l∈L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h∈H</w:t>
      </w:r>
      <w:r>
        <w:rPr>
          <w:rFonts w:ascii="Times New Roman" w:eastAsia="新細明體" w:hAnsi="Times New Roman"/>
          <w:sz w:val="20"/>
          <w:szCs w:val="20"/>
        </w:rPr>
        <w:t xml:space="preserve"> FO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jhlt</w:t>
      </w:r>
      <w:r>
        <w:rPr>
          <w:rFonts w:ascii="Times New Roman" w:eastAsia="新細明體" w:hAnsi="Times New Roman"/>
          <w:sz w:val="20"/>
          <w:szCs w:val="20"/>
        </w:rPr>
        <w:t xml:space="preserve">(s)</w:t>
      </w:r>
    </w:p>
    <w:p>
      <w:pPr>
        <w:keepNext w:val="false"/>
        <w:spacing w:after="110" w:before="30" w:line="300"/>
        <w:ind w:left="510"/>
      </w:pPr>
      <w:r>
        <w:rPr>
          <w:rFonts w:ascii="Times New Roman" w:eastAsia="新細明體" w:hAnsi="Times New Roman"/>
          <w:sz w:val="20"/>
          <w:szCs w:val="20"/>
        </w:rPr>
        <w:t xml:space="preserve">　　　　　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(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h∈H</w:t>
      </w:r>
      <w:r>
        <w:rPr>
          <w:rFonts w:ascii="Times New Roman" w:eastAsia="新細明體" w:hAnsi="Times New Roman"/>
          <w:sz w:val="20"/>
          <w:szCs w:val="20"/>
        </w:rPr>
        <w:t xml:space="preserve"> min{ c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jh</w:t>
      </w:r>
      <w:r>
        <w:rPr>
          <w:rFonts w:ascii="Times New Roman" w:eastAsia="新細明體" w:hAnsi="Times New Roman"/>
          <w:sz w:val="20"/>
          <w:szCs w:val="20"/>
        </w:rPr>
        <w:t xml:space="preserve"> w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jhts</w:t>
      </w:r>
      <w:r>
        <w:rPr>
          <w:rFonts w:ascii="Times New Roman" w:eastAsia="新細明體" w:hAnsi="Times New Roman"/>
          <w:sz w:val="20"/>
          <w:szCs w:val="20"/>
        </w:rPr>
        <w:t xml:space="preserve">,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l′∈L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 k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jl′</w:t>
      </w:r>
      <w:r>
        <w:rPr>
          <w:rFonts w:ascii="Times New Roman" w:eastAsia="新細明體" w:hAnsi="Times New Roman"/>
          <w:sz w:val="20"/>
          <w:szCs w:val="20"/>
        </w:rPr>
        <w:t xml:space="preserve"> } ) X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</w:t>
      </w:r>
      <w:r>
        <w:rPr>
          <w:rFonts w:ascii="Times New Roman" w:eastAsia="新細明體" w:hAnsi="Times New Roman"/>
          <w:sz w:val="20"/>
          <w:szCs w:val="20"/>
        </w:rPr>
        <w:t xml:space="preserve">　　t ∈ T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與 θ</w:t>
      </w:r>
      <w:r>
        <w:rPr>
          <w:rFonts w:ascii="Times New Roman" w:eastAsia="微軟正黑體" w:hAnsi="Times New Roman"/>
          <w:b/>
          <w:bCs/>
          <w:color w:val="3B454F"/>
          <w:sz w:val="22"/>
          <w:szCs w:val="22"/>
          <w:vertAlign w:val="subscript"/>
        </w:rPr>
        <w:t xml:space="preserve">s</w:t>
      </w: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 的連結式</w:t>
      </w:r>
    </w:p>
    <w:p>
      <w:pPr>
        <w:keepNext/>
        <w:spacing w:after="30" w:before="9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≥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t∈T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ρ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</w:t>
      </w:r>
      <w:r>
        <w:rPr>
          <w:rFonts w:ascii="Times New Roman" w:eastAsia="新細明體" w:hAnsi="Times New Roman"/>
          <w:sz w:val="22"/>
          <w:szCs w:val="22"/>
        </w:rPr>
        <w:t xml:space="preserve">(s) +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t∈T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δ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</w:t>
      </w:r>
    </w:p>
    <w:p>
      <w:pPr>
        <w:keepNext/>
        <w:spacing w:after="30" w:before="3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　　　 + ( 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i,j</w:t>
      </w:r>
      <w:r>
        <w:rPr>
          <w:rFonts w:ascii="Times New Roman" w:eastAsia="新細明體" w:hAnsi="Times New Roman"/>
          <w:sz w:val="22"/>
          <w:szCs w:val="22"/>
        </w:rPr>
        <w:t xml:space="preserve"> 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</w:t>
      </w:r>
      <w:r>
        <w:rPr>
          <w:rFonts w:ascii="Times New Roman" w:eastAsia="新細明體" w:hAnsi="Times New Roman"/>
          <w:sz w:val="22"/>
          <w:szCs w:val="22"/>
        </w:rPr>
        <w:t xml:space="preserve"> )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t∈T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</w:t>
      </w:r>
    </w:p>
    <w:p>
      <w:pPr>
        <w:keepNext w:val="false"/>
        <w:spacing w:after="110" w:before="30" w:line="300"/>
        <w:ind w:left="510"/>
      </w:pPr>
      <w:r>
        <w:rPr>
          <w:rFonts w:ascii="Times New Roman" w:eastAsia="新細明體" w:hAnsi="Times New Roman"/>
          <w:sz w:val="22"/>
          <w:szCs w:val="22"/>
        </w:rPr>
        <w:t xml:space="preserve">　　　 + ( 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j,h</w:t>
      </w:r>
      <w:r>
        <w:rPr>
          <w:rFonts w:ascii="Times New Roman" w:eastAsia="新細明體" w:hAnsi="Times New Roman"/>
          <w:sz w:val="22"/>
          <w:szCs w:val="22"/>
        </w:rPr>
        <w:t xml:space="preserve"> 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</w:t>
      </w:r>
      <w:r>
        <w:rPr>
          <w:rFonts w:ascii="Times New Roman" w:eastAsia="新細明體" w:hAnsi="Times New Roman"/>
          <w:sz w:val="22"/>
          <w:szCs w:val="22"/>
        </w:rPr>
        <w:t xml:space="preserve"> )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t∈T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每一條的出處與白話</w:t>
      </w:r>
    </w:p>
    <w:tbl>
      <w:tblPr>
        <w:tblW w:type="dxa" w:w="9638"/>
        <w:tblBorders>
          <w:top w:val="single" w:color="9AA5A0" w:sz="4"/>
          <w:left w:val="single" w:color="C8CFCB" w:sz="2"/>
          <w:bottom w:val="single" w:color="9AA5A0" w:sz="4"/>
          <w:right w:val="single" w:color="C8CFCB" w:sz="2"/>
          <w:insideH w:val="single" w:color="C8CFCB" w:sz="2"/>
          <w:insideV w:val="single" w:color="C8CFCB" w:sz="2"/>
        </w:tblBorders>
      </w:tblPr>
      <w:tblGrid>
        <w:gridCol w:w="750"/>
        <w:gridCol w:w="6250"/>
        <w:gridCol w:w="2638"/>
      </w:tblGrid>
      <w:tr>
        <w:trPr>
          <w:cantSplit/>
          <w:tblHeader/>
        </w:trPr>
        <w:tc>
          <w:tcPr>
            <w:tcW w:type="dxa" w:w="75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式</w:t>
            </w:r>
          </w:p>
        </w:tc>
        <w:tc>
          <w:tcPr>
            <w:tcW w:type="dxa" w:w="625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白話</w:t>
            </w:r>
          </w:p>
        </w:tc>
        <w:tc>
          <w:tcPr>
            <w:tcW w:type="dxa" w:w="2638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由哪些原式加總而來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(8.1)</w:t>
            </w:r>
          </w:p>
        </w:tc>
        <w:tc>
          <w:tcPr>
            <w:tcW w:type="dxa" w:w="62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災區人數守恆：這期還留在災區的人 ＝ 上期還留著的 ＋ 這期新產生的 − 這期被送走的。</w:t>
            </w:r>
          </w:p>
        </w:tc>
        <w:tc>
          <w:tcPr>
            <w:tcW w:type="dxa" w:w="2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(15)(16) 對 i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(8.2)</w:t>
            </w:r>
          </w:p>
        </w:tc>
        <w:tc>
          <w:tcPr>
            <w:tcW w:type="dxa" w:w="62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CCP 等待區人數守恆：這期在等後送的人 ＝ 上期在等的 ＋ 這期治療完成的 − 這期送去醫院的。</w:t>
            </w:r>
          </w:p>
        </w:tc>
        <w:tc>
          <w:tcPr>
            <w:tcW w:type="dxa" w:w="2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(17)(19)(20)(21) 對 j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(8.3)</w:t>
            </w:r>
          </w:p>
        </w:tc>
        <w:tc>
          <w:tcPr>
            <w:tcW w:type="dxa" w:w="62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床位不夠（需後送嚴重度）：治療中的人加上等待後送的人，不能超過所有開設 CCP 的床位總和。</w:t>
            </w:r>
          </w:p>
        </w:tc>
        <w:tc>
          <w:tcPr>
            <w:tcW w:type="dxa" w:w="2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(17)(18)(22) 對 j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(8.4)</w:t>
            </w:r>
          </w:p>
        </w:tc>
        <w:tc>
          <w:tcPr>
            <w:tcW w:type="dxa" w:w="62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床位不夠（其餘嚴重度）：同上，但這些嚴重度不需後送，故無等待項。</w:t>
            </w:r>
          </w:p>
        </w:tc>
        <w:tc>
          <w:tcPr>
            <w:tcW w:type="dxa" w:w="2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(17)(18)(23) 對 j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(8.5)</w:t>
            </w:r>
          </w:p>
        </w:tc>
        <w:tc>
          <w:tcPr>
            <w:tcW w:type="dxa" w:w="62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醫護不夠：治療中的病患所需的醫護人力，不能超過所有 CCP 的醫護總和。</w:t>
            </w:r>
          </w:p>
        </w:tc>
        <w:tc>
          <w:tcPr>
            <w:tcW w:type="dxa" w:w="2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(17)(18)(24) 對 j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(8.6)</w:t>
            </w:r>
          </w:p>
        </w:tc>
        <w:tc>
          <w:tcPr>
            <w:tcW w:type="dxa" w:w="62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救護車不夠：這期送進 CCP 的需後送傷患，不能超過所有 CCP 救護車的單期載運總量。</w:t>
            </w:r>
          </w:p>
        </w:tc>
        <w:tc>
          <w:tcPr>
            <w:tcW w:type="dxa" w:w="2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(13) 對 j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(8.7)</w:t>
            </w:r>
          </w:p>
        </w:tc>
        <w:tc>
          <w:tcPr>
            <w:tcW w:type="dxa" w:w="62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物資不夠：整個規劃期間消耗的物資，不能超過所有醫院撥出的物資總和。</w:t>
            </w:r>
          </w:p>
        </w:tc>
        <w:tc>
          <w:tcPr>
            <w:tcW w:type="dxa" w:w="2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(17)(25) 對 j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(8.8)</w:t>
            </w:r>
          </w:p>
        </w:tc>
        <w:tc>
          <w:tcPr>
            <w:tcW w:type="dxa" w:w="62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醫院收不下：這期送到醫院的人，不能超過所有醫院的收治量總和。</w:t>
            </w:r>
          </w:p>
        </w:tc>
        <w:tc>
          <w:tcPr>
            <w:tcW w:type="dxa" w:w="2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VI-3 對 h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(8.9)</w:t>
            </w:r>
          </w:p>
        </w:tc>
        <w:tc>
          <w:tcPr>
            <w:tcW w:type="dxa" w:w="62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路不夠寬（進）：這期送進 CCP 的人，不能超過所有開設 CCP 的入口道路吞吐總和。</w:t>
            </w:r>
          </w:p>
        </w:tc>
        <w:tc>
          <w:tcPr>
            <w:tcW w:type="dxa" w:w="2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VI-1 對 i, j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(8.10)</w:t>
            </w:r>
          </w:p>
        </w:tc>
        <w:tc>
          <w:tcPr>
            <w:tcW w:type="dxa" w:w="62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路不夠寬（出）：這期送出 CCP 的人，不能超過所有開設 CCP 的出口道路吞吐總和。</w:t>
            </w:r>
          </w:p>
        </w:tc>
        <w:tc>
          <w:tcPr>
            <w:tcW w:type="dxa" w:w="26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VI-2 對 j, h</w:t>
            </w:r>
          </w:p>
        </w:tc>
      </w:tr>
    </w:tbl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論文論述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每一條都是原限制式對索引加總的直接結果 —— 等式加總後仍是等式，「≤」加總後仍是「≤」。因此原問題的任一可行解，其四種加總量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(s)、Σ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</w:t>
      </w:r>
      <w:r>
        <w:rPr>
          <w:rFonts w:ascii="Times New Roman" w:eastAsia="新細明體" w:hAnsi="Times New Roman"/>
          <w:sz w:val="22"/>
          <w:szCs w:val="22"/>
        </w:rPr>
        <w:t xml:space="preserve">(s)、Σ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(s)、Σ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必滿足 (8.1)–(8.10)。亦即彙總系統的可行域包含原問題可行解的投影，在較寬鬆的集合上取最小值只會更小。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連結式的前兩項與 (10) 的前兩項逐項相同；後兩項是 (10) 的運送成本，彙總後已無法分辨是哪一條路徑，故改以最小單價取下界，即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i,j</w:t>
      </w:r>
      <w:r>
        <w:rPr>
          <w:rFonts w:ascii="Times New Roman" w:eastAsia="新細明體" w:hAnsi="Times New Roman"/>
          <w:sz w:val="22"/>
          <w:szCs w:val="22"/>
        </w:rPr>
        <w:t xml:space="preserve"> 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 ≥ ( 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i,j</w:t>
      </w:r>
      <w:r>
        <w:rPr>
          <w:rFonts w:ascii="Times New Roman" w:eastAsia="新細明體" w:hAnsi="Times New Roman"/>
          <w:sz w:val="22"/>
          <w:szCs w:val="22"/>
        </w:rPr>
        <w:t xml:space="preserve"> 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</w:t>
      </w:r>
      <w:r>
        <w:rPr>
          <w:rFonts w:ascii="Times New Roman" w:eastAsia="新細明體" w:hAnsi="Times New Roman"/>
          <w:sz w:val="22"/>
          <w:szCs w:val="22"/>
        </w:rPr>
        <w:t xml:space="preserve"> )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i,j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(s)。故「θ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≥ 彙總系統的最佳值」對所有第一階段可行解恆成立。　∎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下界的直觀意義：若災區與 CCP 之間沒有距離、沒有配對問題，只剩總量限制時的成本。真實情況還有空間阻礙，成本只會更高 —— 這正是它作為下界成立的理由，也是它不會太緊的原因。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實作註記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上面每一個加總（如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(s)）在整組式子中永遠是整塊出現，從不單獨用到其中某一個 i 或 j，故程式為每一種加總各配置一個連續變數來承載它。master 每情境僅增加 (2|L| + 2|L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|)·|T| = 80 個變數（|L| = 3、|L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| = 2、|T| = 8），不需要建立完整的 FI、FO 變數。文件中是一個求和式，程式中是一個變數，兩者指的是同一個量。</w:t>
      </w:r>
    </w:p>
    <w:p>
      <w:pPr>
        <w:keepNext/>
        <w:spacing w:after="60" w:before="150" w:line="300"/>
      </w:pPr>
      <w:r>
        <w:rPr>
          <w:rFonts w:ascii="Times New Roman" w:eastAsia="微軟正黑體" w:hAnsi="Times New Roman"/>
          <w:b/>
          <w:bCs/>
          <w:color w:val="3B454F"/>
          <w:sz w:val="22"/>
          <w:szCs w:val="22"/>
        </w:rPr>
        <w:t xml:space="preserve">效益與風險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已量測（台北 small：|I| = 70、|J| = 20、|H| = 18、|T| = 8、S = 5）：master 根節點 LP 由 0 提升至 17,480,001，一階解由全零變為 ΣX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6.35、ΣV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151.2、ΣU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52.6、ΣY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= 2,992；master 規模為 825 個變數 / 650 條限制式。此族在數學上支配所有由單一資源推導的切線，且提供的是逐情境的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下界而非加總的下界 —— 這對 MCVaR 的尾端項至關重要。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風險：全域加總會抹去空間結構。若未來加入高度空間相依的限制（例如指定災區只能送往特定 CCP、或某路段完全阻斷），此鬆弛會忽略空間阻礙而給出過於樂觀的下界，約束力隨之下降；屆時應改為分區加總（例如依 K-means 群集分區），保留部分空間資訊。</w:t>
      </w:r>
    </w:p>
    <w:p>
      <w:r>
        <w:br w:type="page"/>
      </w:r>
    </w:p>
    <w:p>
      <w:pPr>
        <w:pStyle w:val="Heading1"/>
        <w:keepNext/>
        <w:spacing w:after="170" w:before="340"/>
      </w:pPr>
      <w:r>
        <w:rPr>
          <w:rFonts w:ascii="Times New Roman" w:eastAsia="微軟正黑體" w:hAnsi="Times New Roman"/>
          <w:b/>
          <w:bCs/>
          <w:sz w:val="30"/>
          <w:szCs w:val="30"/>
        </w:rPr>
        <w:t xml:space="preserve">3　正確性驗證程序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有效不等式寫錯時不會產生任何錯誤訊息，只會安靜地回傳偏低的最佳值 —— 這是它最危險的地方。以下三關全部通過才可納入正式實驗。</w:t>
      </w:r>
    </w:p>
    <w:tbl>
      <w:tblPr>
        <w:tblW w:type="dxa" w:w="9638"/>
        <w:tblBorders>
          <w:top w:val="single" w:color="9AA5A0" w:sz="4"/>
          <w:left w:val="single" w:color="C8CFCB" w:sz="2"/>
          <w:bottom w:val="single" w:color="9AA5A0" w:sz="4"/>
          <w:right w:val="single" w:color="C8CFCB" w:sz="2"/>
          <w:insideH w:val="single" w:color="C8CFCB" w:sz="2"/>
          <w:insideV w:val="single" w:color="C8CFCB" w:sz="2"/>
        </w:tblBorders>
      </w:tblPr>
      <w:tblGrid>
        <w:gridCol w:w="1750"/>
        <w:gridCol w:w="5888"/>
        <w:gridCol w:w="2000"/>
      </w:tblGrid>
      <w:tr>
        <w:trPr>
          <w:cantSplit/>
          <w:tblHeader/>
        </w:trPr>
        <w:tc>
          <w:tcPr>
            <w:tcW w:type="dxa" w:w="175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關卡</w:t>
            </w:r>
          </w:p>
        </w:tc>
        <w:tc>
          <w:tcPr>
            <w:tcW w:type="dxa" w:w="5888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作法</w:t>
            </w:r>
          </w:p>
        </w:tc>
        <w:tc>
          <w:tcPr>
            <w:tcW w:type="dxa" w:w="200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針對的型別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一、最佳值一致</w:t>
            </w:r>
          </w:p>
        </w:tc>
        <w:tc>
          <w:tcPr>
            <w:tcW w:type="dxa" w:w="588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在小型 instance 上以 extensive form 求解，比較「全部關閉」與「全部開啟」兩種設定的最佳目標值，必須逐位相同（不是在 gap 容忍度內相同）。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EXACT 與 OPT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二、隨機解逐條檢查</w:t>
            </w:r>
          </w:p>
        </w:tc>
        <w:tc>
          <w:tcPr>
            <w:tcW w:type="dxa" w:w="588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隨機抽取若干個第一階段可行解 x（含全零解），以子問題求出真實的 Q(x; ω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per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)，逐條檢查每一族的右手邊是否 ≤ Q(x; ω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  <w:vertAlign w:val="super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)。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RELAX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三、最佳解代回</w:t>
            </w:r>
          </w:p>
        </w:tc>
        <w:tc>
          <w:tcPr>
            <w:tcW w:type="dxa" w:w="588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取已知的最佳（或目前最好的）解，代入所有 OPT 型的式子檢查無違反。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OPT</w:t>
            </w:r>
          </w:p>
        </w:tc>
      </w:tr>
    </w:tbl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每一族保留可個別關閉的開關，以便在 ablation 實驗中逐族加入、觀察各自的邊際貢獻；並在關閉全部有效不等式時，確認模型的變數數、限制式數與最佳值皆與原始版本完全相同。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建議的實作順序：先做 VI-1 至 VI-3（EXACT，不需最佳性論證，風險最低），再做 VI-4、VI-5（OPT，論證已於本文備妥），最後做 VI-6 至 VI-8（Benders master，效益最大但改動也最大）。</w:t>
      </w:r>
    </w:p>
    <w:p>
      <w:pPr>
        <w:pStyle w:val="Heading1"/>
        <w:keepNext/>
        <w:spacing w:after="170" w:before="340"/>
      </w:pPr>
      <w:r>
        <w:rPr>
          <w:rFonts w:ascii="Times New Roman" w:eastAsia="微軟正黑體" w:hAnsi="Times New Roman"/>
          <w:b/>
          <w:bCs/>
          <w:sz w:val="30"/>
          <w:szCs w:val="30"/>
        </w:rPr>
        <w:t xml:space="preserve">4　已評估但決定不實作的族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下列各族均已完成推導，但基於風險或效益考量不納入本次實作。若日後參數校準改變，可回頭重新評估。</w:t>
      </w:r>
    </w:p>
    <w:tbl>
      <w:tblPr>
        <w:tblW w:type="dxa" w:w="9638"/>
        <w:tblBorders>
          <w:top w:val="single" w:color="9AA5A0" w:sz="4"/>
          <w:left w:val="single" w:color="C8CFCB" w:sz="2"/>
          <w:bottom w:val="single" w:color="9AA5A0" w:sz="4"/>
          <w:right w:val="single" w:color="C8CFCB" w:sz="2"/>
          <w:insideH w:val="single" w:color="C8CFCB" w:sz="2"/>
          <w:insideV w:val="single" w:color="C8CFCB" w:sz="2"/>
        </w:tblBorders>
      </w:tblPr>
      <w:tblGrid>
        <w:gridCol w:w="1900"/>
        <w:gridCol w:w="3400"/>
        <w:gridCol w:w="4338"/>
      </w:tblGrid>
      <w:tr>
        <w:trPr>
          <w:cantSplit/>
          <w:tblHeader/>
        </w:trPr>
        <w:tc>
          <w:tcPr>
            <w:tcW w:type="dxa" w:w="190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族</w:t>
            </w:r>
          </w:p>
        </w:tc>
        <w:tc>
          <w:tcPr>
            <w:tcW w:type="dxa" w:w="3400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內容</w:t>
            </w:r>
          </w:p>
        </w:tc>
        <w:tc>
          <w:tcPr>
            <w:tcW w:type="dxa" w:w="4338"/>
            <w:shd w:fill="E8ECEA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不實作的理由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實體容量 ↔ 罰金權衡切線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由 (22)(23) 逐段套用推出的 θ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閉式下界切線，形式為 θ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≥ 常數 − 係數 · Σ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j∈J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X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。</w:t>
            </w:r>
          </w:p>
        </w:tc>
        <w:tc>
          <w:tcPr>
            <w:tcW w:type="dxa" w:w="43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其約束力已被 VI-8 的 (8.1)(8.3)(8.4) 在數學上完全支配。兩者同時開啟只會在 master 中留下冗餘限制式，拖慢每個節點的 LP 求解。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救護車／醫護／物資的同型權衡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與上式推導邏輯相同，改用 (13)、(24)、(25) 作為容量來源的三條切線。</w:t>
            </w:r>
          </w:p>
        </w:tc>
        <w:tc>
          <w:tcPr>
            <w:tcW w:type="dxa" w:w="43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同樣被 VI-8 的 (8.6)(8.5)(8.7) 涵蓋；且在目前的參數校準下，(13) 與 (24) 都不具約束力（救護車與醫護資源池均有大量餘裕），不會產生任何有效切割。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Y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hj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的精確彙總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在 cy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hj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與 h 無關的前提下，將 Y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hj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降維為 Σ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h∈H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Y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hj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，第一階段整數變數由 |H|·|J| + 3|J| 降為 4|J|。</w:t>
            </w:r>
          </w:p>
        </w:tc>
        <w:tc>
          <w:tcPr>
            <w:tcW w:type="dxa" w:w="43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屬模型重構而非加速，需同時改動建模函數、子問題 oracle、cut 結構與輸出還原四處；風險與效益不成比例。若日後確定 cy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hj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不改為距離相關，可單獨進行。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醫院撥出量的破對稱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強制 Σ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j∈J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Y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h(k)j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≥ Σ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j∈J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Y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h(k+1)j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，只探索一種醫院排列。</w:t>
            </w:r>
          </w:p>
        </w:tc>
        <w:tc>
          <w:tcPr>
            <w:tcW w:type="dxa" w:w="43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前提（cy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hj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對 h 同值、s̄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h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對 h 同值）來自目前的參數校準而非模型結構。一旦把 cy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hj</w:t>
            </w: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 改為與距離相關，此式立刻切掉真正的最佳解，且不會有任何錯誤訊息。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DRO 對偶變數的界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為式 (35)(36)(37) 中的 γ, ζ, ϖ 等對偶變數推導上下界。</w:t>
            </w:r>
          </w:p>
        </w:tc>
        <w:tc>
          <w:tcPr>
            <w:tcW w:type="dxa" w:w="4338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5"/>
            </w:pPr>
            <w:r>
              <w:rPr>
                <w:rFonts w:ascii="Times New Roman" w:eastAsia="新細明體" w:hAnsi="Times New Roman"/>
                <w:b w:val="false"/>
                <w:bCs w:val="false"/>
                <w:sz w:val="18"/>
                <w:szCs w:val="18"/>
              </w:rPr>
              <w:t xml:space="preserve">界推錯或設得過緊會直接讓 DRO master 變成不可行，而症狀不明顯（求解器只回報無解）。目前僅完成 box 一族，ellipsoidal 的 (Δ, ν, π) 與 polyhedral 的 (Γ, ψ, χ) 尚未推導，不足以構成完整的一節。</w:t>
            </w:r>
          </w:p>
        </w:tc>
      </w:tr>
    </w:tbl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eastAsia="微軟正黑體" w:hAnsi="Times New Roman"/>
      <w:b/>
      <w:bCs/>
      <w:color w:val="1C222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eastAsia="微軟正黑體" w:hAnsi="Times New Roman"/>
      <w:b/>
      <w:bCs/>
      <w:color w:val="1C2229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有效不等式實作規格</dc:title>
  <dc:creator>Amy</dc:creator>
  <cp:lastModifiedBy>Un-named</cp:lastModifiedBy>
  <cp:revision>1</cp:revision>
  <dcterms:created xsi:type="dcterms:W3CDTF">2026-09-04T14:45:28.168Z</dcterms:created>
  <dcterms:modified xsi:type="dcterms:W3CDTF">2026-09-04T14:45:28.169Z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